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3B381" w14:textId="77777777" w:rsidR="00E2622A" w:rsidRPr="006B743A" w:rsidRDefault="00E2622A" w:rsidP="00941E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3A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14:paraId="77930C0D" w14:textId="77777777" w:rsidR="00984082" w:rsidRDefault="00984082" w:rsidP="009840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82">
        <w:rPr>
          <w:rFonts w:ascii="Times New Roman" w:eastAsia="Times New Roman" w:hAnsi="Times New Roman" w:cs="Times New Roman"/>
          <w:b/>
          <w:sz w:val="24"/>
          <w:szCs w:val="24"/>
        </w:rPr>
        <w:t>“Talsu novada pašvaldības vieglo automobiļu un mikroautobusu riepu iepirkums”</w:t>
      </w:r>
    </w:p>
    <w:p w14:paraId="09F258DA" w14:textId="77777777" w:rsidR="00984082" w:rsidRDefault="00984082" w:rsidP="00941E1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685F0" w14:textId="5F4234D9" w:rsidR="003C67E4" w:rsidRDefault="003C67E4" w:rsidP="00941E1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>Mēs, 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F638FCF" w14:textId="77777777" w:rsidR="003C67E4" w:rsidRPr="003C67E4" w:rsidRDefault="003C67E4" w:rsidP="00941E1A">
      <w:pPr>
        <w:spacing w:after="120" w:line="240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67E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(pretendenta nosaukums, vienotais reģistrācijas numurs.) </w:t>
      </w:r>
    </w:p>
    <w:p w14:paraId="49A73AC6" w14:textId="7FEC338E" w:rsidR="003C67E4" w:rsidRPr="003C67E4" w:rsidRDefault="003C67E4" w:rsidP="00941E1A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piedāvājam veikt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Talsu novada pašvaldības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(turpmāk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Pašvaldība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vai pasūtītājs) iepirkuma </w:t>
      </w:r>
      <w:r w:rsidR="00984082" w:rsidRPr="00984082">
        <w:rPr>
          <w:rFonts w:ascii="Times New Roman" w:eastAsia="Times New Roman" w:hAnsi="Times New Roman" w:cs="Times New Roman"/>
          <w:bCs/>
          <w:sz w:val="24"/>
          <w:szCs w:val="24"/>
        </w:rPr>
        <w:t>“Talsu novada pašvaldības vieglo automobiļu un mikroautobusu riepu iepirkums”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(turpmāk – Iepirkums) priekšmet</w:t>
      </w:r>
      <w:r w:rsidR="007120E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piegādi saskaņā ar šādu tehnisko specifikāciju:</w:t>
      </w:r>
    </w:p>
    <w:tbl>
      <w:tblPr>
        <w:tblStyle w:val="Reatabula"/>
        <w:tblW w:w="10065" w:type="dxa"/>
        <w:tblInd w:w="-5" w:type="dxa"/>
        <w:tblLook w:val="04A0" w:firstRow="1" w:lastRow="0" w:firstColumn="1" w:lastColumn="0" w:noHBand="0" w:noVBand="1"/>
      </w:tblPr>
      <w:tblGrid>
        <w:gridCol w:w="696"/>
        <w:gridCol w:w="5541"/>
        <w:gridCol w:w="3828"/>
      </w:tblGrid>
      <w:tr w:rsidR="003876D3" w14:paraId="57CBD201" w14:textId="77777777" w:rsidTr="00F4227C">
        <w:tc>
          <w:tcPr>
            <w:tcW w:w="696" w:type="dxa"/>
            <w:tcBorders>
              <w:bottom w:val="single" w:sz="4" w:space="0" w:color="auto"/>
            </w:tcBorders>
          </w:tcPr>
          <w:p w14:paraId="6D5841C6" w14:textId="77777777" w:rsidR="003876D3" w:rsidRPr="00B71F99" w:rsidRDefault="003876D3" w:rsidP="00E26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Nr. </w:t>
            </w:r>
          </w:p>
          <w:p w14:paraId="6DE04575" w14:textId="77777777" w:rsidR="003876D3" w:rsidRPr="00B71F99" w:rsidRDefault="003876D3" w:rsidP="00E2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vAlign w:val="center"/>
          </w:tcPr>
          <w:p w14:paraId="4FD58DBE" w14:textId="21AE9FC6" w:rsidR="003876D3" w:rsidRPr="003876D3" w:rsidRDefault="003876D3" w:rsidP="00E26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Obligātās (minimālās) prasības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EAB92FB" w14:textId="50CA6EA0" w:rsidR="003876D3" w:rsidRPr="00B71F99" w:rsidRDefault="003876D3" w:rsidP="00E26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00548351"/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piedāvātais</w:t>
            </w:r>
          </w:p>
          <w:p w14:paraId="273282AC" w14:textId="61AB3676" w:rsidR="003876D3" w:rsidRPr="00B71F99" w:rsidRDefault="003876D3" w:rsidP="00E2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Cs/>
                <w:sz w:val="24"/>
                <w:szCs w:val="24"/>
              </w:rPr>
              <w:t>(aizpilda pretendents</w:t>
            </w:r>
            <w:r w:rsidRPr="00B71F99">
              <w:rPr>
                <w:rStyle w:val="Vresatsauce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  <w:r w:rsidRPr="00B7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  <w:r w:rsidRPr="00B71F9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D6134" w:rsidRPr="00F4227C" w14:paraId="3750F774" w14:textId="77777777" w:rsidTr="0068029B">
        <w:tc>
          <w:tcPr>
            <w:tcW w:w="696" w:type="dxa"/>
            <w:shd w:val="clear" w:color="auto" w:fill="D9D9D9" w:themeFill="background1" w:themeFillShade="D9"/>
          </w:tcPr>
          <w:p w14:paraId="5C06334C" w14:textId="232BF329" w:rsidR="00DD6134" w:rsidRPr="00B71F99" w:rsidRDefault="00DD6134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369" w:type="dxa"/>
            <w:gridSpan w:val="2"/>
            <w:shd w:val="clear" w:color="auto" w:fill="D9D9D9" w:themeFill="background1" w:themeFillShade="D9"/>
          </w:tcPr>
          <w:p w14:paraId="10B2D2E3" w14:textId="1BC67420" w:rsidR="00DD6134" w:rsidRPr="00B71F99" w:rsidRDefault="00DD6134" w:rsidP="00DD61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227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Prasības Pretendentam</w:t>
            </w:r>
          </w:p>
        </w:tc>
      </w:tr>
      <w:tr w:rsidR="003876D3" w14:paraId="4F170EC8" w14:textId="77777777" w:rsidTr="003876D3">
        <w:tc>
          <w:tcPr>
            <w:tcW w:w="696" w:type="dxa"/>
          </w:tcPr>
          <w:p w14:paraId="31A79390" w14:textId="7F73B1F7" w:rsidR="003876D3" w:rsidRPr="001842CC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42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5541" w:type="dxa"/>
          </w:tcPr>
          <w:p w14:paraId="741629EF" w14:textId="62941EAF" w:rsidR="003876D3" w:rsidRDefault="003876D3" w:rsidP="00184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Pretendents ir piegādātājs, kurš ir iesniedzis piedāvājumu. Piegādātājs var būt fiziskā vai juridiskā persona vai šādu personu apvienība jebkurā to kombinācijā, kas attiecīgi piedāvā tirgū piegādāt preces vai sniegt pakalpojumus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115398BC" w14:textId="77777777" w:rsidR="003876D3" w:rsidRPr="00B71F99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6D3" w14:paraId="73A6EAD7" w14:textId="77777777" w:rsidTr="003876D3">
        <w:tc>
          <w:tcPr>
            <w:tcW w:w="696" w:type="dxa"/>
          </w:tcPr>
          <w:p w14:paraId="26BE7BB2" w14:textId="147F5C53" w:rsidR="003876D3" w:rsidRPr="001842CC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42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5541" w:type="dxa"/>
          </w:tcPr>
          <w:p w14:paraId="23147D35" w14:textId="63AD3D62" w:rsidR="003876D3" w:rsidRPr="00012744" w:rsidRDefault="003876D3" w:rsidP="001842C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r w:rsidRPr="00012744">
              <w:rPr>
                <w:rFonts w:ascii="Times New Roman" w:eastAsia="Times New Roman" w:hAnsi="Times New Roman" w:cs="Times New Roman"/>
                <w:sz w:val="24"/>
                <w:szCs w:val="24"/>
              </w:rPr>
              <w:t>garantē, ka tam ir visas normatīvajos aktos noteiktās spēkā esošās licences un atļaujas, kas nepieciešamas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Iepirkuma priekšmetu piegādei.</w:t>
            </w:r>
          </w:p>
        </w:tc>
        <w:tc>
          <w:tcPr>
            <w:tcW w:w="3828" w:type="dxa"/>
          </w:tcPr>
          <w:p w14:paraId="6414239B" w14:textId="77777777" w:rsidR="003876D3" w:rsidRPr="00B71F99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6D3" w14:paraId="7AB07948" w14:textId="77777777" w:rsidTr="00F4227C">
        <w:tc>
          <w:tcPr>
            <w:tcW w:w="696" w:type="dxa"/>
            <w:tcBorders>
              <w:bottom w:val="single" w:sz="4" w:space="0" w:color="auto"/>
            </w:tcBorders>
          </w:tcPr>
          <w:p w14:paraId="27C44326" w14:textId="73AE4AC6" w:rsidR="003876D3" w:rsidRPr="001842CC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42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4AE31ED5" w14:textId="6F99C8E5" w:rsidR="003876D3" w:rsidRDefault="003876D3" w:rsidP="00184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Pretendents ir reģistrēts atbilstoši attiecīgās valsts normatīvo aktu prasībām.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Pretendents normatīvajos aktos noteiktajā kārtībā ir reģistrēts Komercreģistrā vai līdzvērtīgā reģistrā ārvalstīs.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622A8C0" w14:textId="77777777" w:rsidR="003876D3" w:rsidRPr="00B71F99" w:rsidRDefault="003876D3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C2A" w14:paraId="094B0BC5" w14:textId="77777777" w:rsidTr="00F4227C">
        <w:tc>
          <w:tcPr>
            <w:tcW w:w="696" w:type="dxa"/>
            <w:tcBorders>
              <w:bottom w:val="single" w:sz="4" w:space="0" w:color="auto"/>
            </w:tcBorders>
          </w:tcPr>
          <w:p w14:paraId="42BEE11B" w14:textId="0BB233BF" w:rsidR="000C3C2A" w:rsidRPr="001842CC" w:rsidRDefault="000C3C2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2FCE9490" w14:textId="14AA4520" w:rsidR="000C3C2A" w:rsidRPr="001842CC" w:rsidRDefault="000C3C2A" w:rsidP="00184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34">
              <w:rPr>
                <w:rFonts w:ascii="Times New Roman" w:hAnsi="Times New Roman" w:cs="Times New Roman"/>
                <w:sz w:val="24"/>
                <w:szCs w:val="24"/>
              </w:rPr>
              <w:t>Pretendenta servisam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DD6134">
              <w:rPr>
                <w:rFonts w:ascii="Times New Roman" w:hAnsi="Times New Roman" w:cs="Times New Roman"/>
                <w:sz w:val="24"/>
                <w:szCs w:val="24"/>
              </w:rPr>
              <w:t xml:space="preserve"> spēkā vispārēj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DD6134">
              <w:rPr>
                <w:rFonts w:ascii="Times New Roman" w:hAnsi="Times New Roman" w:cs="Times New Roman"/>
                <w:sz w:val="24"/>
                <w:szCs w:val="24"/>
              </w:rPr>
              <w:t xml:space="preserve"> civiltiesisk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DD6134">
              <w:rPr>
                <w:rFonts w:ascii="Times New Roman" w:hAnsi="Times New Roman" w:cs="Times New Roman"/>
                <w:sz w:val="24"/>
                <w:szCs w:val="24"/>
              </w:rPr>
              <w:t xml:space="preserve"> atbildīb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D6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326244B" w14:textId="77777777" w:rsidR="000C3C2A" w:rsidRPr="00B71F99" w:rsidRDefault="000C3C2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134" w14:paraId="70CB45A2" w14:textId="77777777" w:rsidTr="00605F27">
        <w:tc>
          <w:tcPr>
            <w:tcW w:w="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E259A4" w14:textId="40A5D337" w:rsidR="00DD6134" w:rsidRPr="00C67CC1" w:rsidRDefault="00DD6134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7C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3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AADC1D" w14:textId="30B58A4C" w:rsidR="00DD6134" w:rsidRPr="00B71F99" w:rsidRDefault="00DD6134" w:rsidP="00DD61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67CC1">
              <w:rPr>
                <w:rFonts w:ascii="Times New Roman" w:hAnsi="Times New Roman" w:cs="Times New Roman"/>
                <w:b/>
                <w:sz w:val="24"/>
                <w:szCs w:val="24"/>
              </w:rPr>
              <w:t>ervisa pakalpojumu sniegšanas vietā ir jānodrošina ne mazāk kā sekojošs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67CC1" w14:paraId="0ACF75C7" w14:textId="77777777" w:rsidTr="008F2ABF">
        <w:tc>
          <w:tcPr>
            <w:tcW w:w="696" w:type="dxa"/>
            <w:tcBorders>
              <w:bottom w:val="single" w:sz="4" w:space="0" w:color="auto"/>
            </w:tcBorders>
          </w:tcPr>
          <w:p w14:paraId="2AFC7940" w14:textId="116F2D04" w:rsidR="00C67CC1" w:rsidRPr="00C67CC1" w:rsidRDefault="00C67CC1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7CC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32C45F59" w14:textId="192A84CE" w:rsidR="00C67CC1" w:rsidRPr="00C67CC1" w:rsidRDefault="00C67CC1" w:rsidP="00184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Pretendentam,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šī iepirkuma ietvaros j</w:t>
            </w:r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>āveic darbus saskaņā ar 3.pielikuma Finanšu piedāvājuma Excel tabulā norādīto, un kurus iesniedzot piedāvājumu Pretendents ir izcenojis;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28A9DAB" w14:textId="77777777" w:rsidR="00C67CC1" w:rsidRPr="00B71F99" w:rsidRDefault="00C67CC1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CC1" w14:paraId="0FFDDF8E" w14:textId="77777777" w:rsidTr="008F2ABF">
        <w:tc>
          <w:tcPr>
            <w:tcW w:w="696" w:type="dxa"/>
            <w:tcBorders>
              <w:bottom w:val="single" w:sz="4" w:space="0" w:color="auto"/>
            </w:tcBorders>
          </w:tcPr>
          <w:p w14:paraId="69B34689" w14:textId="7D9C42B7" w:rsidR="00C67CC1" w:rsidRPr="00C67CC1" w:rsidRDefault="00C67CC1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1DA5DC80" w14:textId="68471421" w:rsidR="00C67CC1" w:rsidRPr="00C67CC1" w:rsidRDefault="00C67CC1" w:rsidP="00184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Pakalpojuma sniegšanas vieta jābūt </w:t>
            </w:r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aprīkota ar ne mazāk kā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diviem</w:t>
            </w:r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>) stacionār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iem</w:t>
            </w:r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>autopacēlāj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iem</w:t>
            </w:r>
            <w:proofErr w:type="spellEnd"/>
            <w:r w:rsidR="00B01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kur katra pacēlāja </w:t>
            </w:r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>celtspēj</w:t>
            </w:r>
            <w:r w:rsidR="00B0151F">
              <w:rPr>
                <w:rFonts w:ascii="Times New Roman" w:eastAsia="Calibri" w:hAnsi="Times New Roman" w:cs="Times New Roman"/>
                <w:sz w:val="24"/>
                <w:szCs w:val="24"/>
              </w:rPr>
              <w:t>a ir</w:t>
            </w:r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 mazāk</w:t>
            </w:r>
            <w:r w:rsidR="00B0151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</w:t>
            </w:r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tonn</w:t>
            </w:r>
            <w:r w:rsidR="00B0151F">
              <w:rPr>
                <w:rFonts w:ascii="Times New Roman" w:eastAsia="Calibri" w:hAnsi="Times New Roman" w:cs="Times New Roman"/>
                <w:sz w:val="24"/>
                <w:szCs w:val="24"/>
              </w:rPr>
              <w:t>ām</w:t>
            </w:r>
            <w:r w:rsidRPr="00C67CC1">
              <w:rPr>
                <w:rFonts w:ascii="Times New Roman" w:eastAsia="Calibri" w:hAnsi="Times New Roman" w:cs="Times New Roman"/>
                <w:sz w:val="24"/>
                <w:szCs w:val="24"/>
              </w:rPr>
              <w:t>. Pretendenta rīcībā ir jābūt iekārtu pārbaudes protokoliem par veiktajām pārbaudēm saskaņā ar LR MK noteikumiem Nr.526 “Darba aizsardzības prasības, lietojot darba aprīkojumu”;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F08CF19" w14:textId="77777777" w:rsidR="00C67CC1" w:rsidRPr="00B71F99" w:rsidRDefault="00C67CC1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51F" w14:paraId="244EF613" w14:textId="77777777" w:rsidTr="008F2ABF">
        <w:tc>
          <w:tcPr>
            <w:tcW w:w="696" w:type="dxa"/>
            <w:tcBorders>
              <w:bottom w:val="single" w:sz="4" w:space="0" w:color="auto"/>
            </w:tcBorders>
          </w:tcPr>
          <w:p w14:paraId="7B0FE3C2" w14:textId="5B6A86C7" w:rsidR="00B0151F" w:rsidRPr="00C67CC1" w:rsidRDefault="00B0151F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2BA18F73" w14:textId="61A4B95F" w:rsidR="00B0151F" w:rsidRPr="00B0151F" w:rsidRDefault="00B0151F" w:rsidP="00B01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Pakalpojuma sniegšanai nepieciešamo</w:t>
            </w:r>
            <w:r w:rsidRPr="00B01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rokas instrumentu kompleksam, speciālo instrumentu komplekt</w:t>
            </w:r>
            <w:r w:rsidR="00DC5542">
              <w:rPr>
                <w:rFonts w:ascii="Times New Roman" w:eastAsia="Calibri" w:hAnsi="Times New Roman" w:cs="Times New Roman"/>
                <w:sz w:val="24"/>
                <w:szCs w:val="24"/>
              </w:rPr>
              <w:t>iem</w:t>
            </w:r>
            <w:r w:rsidRPr="00B01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iekārtu aprīkojumam;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008FFEC" w14:textId="77777777" w:rsidR="00B0151F" w:rsidRPr="00B71F99" w:rsidRDefault="00B0151F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A10" w14:paraId="016B3848" w14:textId="77777777" w:rsidTr="008F2ABF">
        <w:tc>
          <w:tcPr>
            <w:tcW w:w="696" w:type="dxa"/>
            <w:tcBorders>
              <w:bottom w:val="single" w:sz="4" w:space="0" w:color="auto"/>
            </w:tcBorders>
          </w:tcPr>
          <w:p w14:paraId="68609CB0" w14:textId="59F46213" w:rsidR="00584A10" w:rsidRDefault="00584A10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5D68089E" w14:textId="37B5FCFC" w:rsidR="00584A10" w:rsidRDefault="00584A10" w:rsidP="00B01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Riepu montāžas stendam</w:t>
            </w:r>
            <w:r w:rsidR="00DC554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151F">
              <w:rPr>
                <w:rFonts w:ascii="Times New Roman" w:eastAsia="Calibri" w:hAnsi="Times New Roman" w:cs="Times New Roman"/>
                <w:sz w:val="24"/>
                <w:szCs w:val="24"/>
              </w:rPr>
              <w:t>apkoptam ievērojot stenda ražotāja apkopju grafiku.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B1F78D3" w14:textId="77777777" w:rsidR="00584A10" w:rsidRPr="00B71F99" w:rsidRDefault="00584A10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51F" w14:paraId="00FA1966" w14:textId="77777777" w:rsidTr="00F4227C">
        <w:tc>
          <w:tcPr>
            <w:tcW w:w="696" w:type="dxa"/>
            <w:tcBorders>
              <w:bottom w:val="single" w:sz="4" w:space="0" w:color="auto"/>
            </w:tcBorders>
          </w:tcPr>
          <w:p w14:paraId="4F61473B" w14:textId="70E576C9" w:rsidR="00B0151F" w:rsidRDefault="00B0151F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="00584A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61F693E0" w14:textId="3D881CA7" w:rsidR="00B0151F" w:rsidRPr="00B0151F" w:rsidRDefault="00B0151F" w:rsidP="00B01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51F">
              <w:rPr>
                <w:rFonts w:ascii="Times New Roman" w:eastAsia="Calibri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teņu</w:t>
            </w:r>
            <w:r w:rsidRPr="00B01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balansēšanas</w:t>
            </w:r>
            <w:r w:rsidRPr="00B01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stendam, kalibrētam un apkoptam ievērojot stenda ražotāja apkopju grafiku. Pretendenta rīcībā ir jābūt iekārtas spēkā esošai kalibrēšanas apliecībai vai sertifikātam;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B93D25D" w14:textId="77777777" w:rsidR="00B0151F" w:rsidRPr="00B71F99" w:rsidRDefault="00B0151F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134" w14:paraId="30EE8C96" w14:textId="77777777" w:rsidTr="002A6B58">
        <w:tc>
          <w:tcPr>
            <w:tcW w:w="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2C03B" w14:textId="63719E5B" w:rsidR="00DD6134" w:rsidRPr="00C67CC1" w:rsidRDefault="00DD6134" w:rsidP="00F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C67C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895E2D" w14:textId="5D107C4E" w:rsidR="00DD6134" w:rsidRPr="00B71F99" w:rsidRDefault="00DD6134" w:rsidP="00DD61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7C">
              <w:rPr>
                <w:rFonts w:ascii="Times New Roman" w:hAnsi="Times New Roman" w:cs="Times New Roman"/>
                <w:b/>
                <w:sz w:val="24"/>
                <w:szCs w:val="24"/>
              </w:rPr>
              <w:t>Pretendentam jānodrošina pakalpojumi sekojošā sniegšanas kārtībā un termiņos:</w:t>
            </w:r>
          </w:p>
        </w:tc>
      </w:tr>
      <w:tr w:rsidR="00F4227C" w14:paraId="3B653C59" w14:textId="77777777" w:rsidTr="00A027D8">
        <w:tc>
          <w:tcPr>
            <w:tcW w:w="696" w:type="dxa"/>
          </w:tcPr>
          <w:p w14:paraId="5FA0D3C0" w14:textId="55FE7030" w:rsidR="00F4227C" w:rsidRDefault="005C6AF8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3.1.</w:t>
            </w:r>
          </w:p>
        </w:tc>
        <w:tc>
          <w:tcPr>
            <w:tcW w:w="5541" w:type="dxa"/>
          </w:tcPr>
          <w:p w14:paraId="69C58887" w14:textId="6B62EA7D" w:rsidR="00F4227C" w:rsidRPr="00B71F99" w:rsidRDefault="005C6AF8" w:rsidP="00B015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Pakalpojuma sniegšanas</w:t>
            </w:r>
            <w:r w:rsidRPr="005C6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darba laiks darba dienās vismaz 8 darba stundas;</w:t>
            </w:r>
          </w:p>
        </w:tc>
        <w:tc>
          <w:tcPr>
            <w:tcW w:w="3828" w:type="dxa"/>
          </w:tcPr>
          <w:p w14:paraId="5A138F17" w14:textId="77777777" w:rsidR="00F4227C" w:rsidRDefault="00F4227C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AF8" w14:paraId="1EB8FC7E" w14:textId="77777777" w:rsidTr="005359AD">
        <w:tc>
          <w:tcPr>
            <w:tcW w:w="696" w:type="dxa"/>
          </w:tcPr>
          <w:p w14:paraId="256FD5AF" w14:textId="47DF63AD" w:rsidR="005C6AF8" w:rsidRDefault="005C6AF8" w:rsidP="005C6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5541" w:type="dxa"/>
          </w:tcPr>
          <w:p w14:paraId="1F9578B7" w14:textId="6A14E453" w:rsidR="005C6AF8" w:rsidRPr="005C6AF8" w:rsidRDefault="005C6AF8" w:rsidP="005C6A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nodrošina pieņemt Pasūtītāja transportlīdzekli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pakalpojuma sniegšanai 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vēlāk kā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divu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darba dienu laikā no Pasūtītāja telefoniska vai rakstiska pieteikuma brīža par </w:t>
            </w:r>
            <w:r w:rsidR="00C53AF2">
              <w:rPr>
                <w:rFonts w:ascii="Times New Roman" w:eastAsia="Calibri" w:hAnsi="Times New Roman" w:cs="Times New Roman"/>
                <w:sz w:val="24"/>
                <w:szCs w:val="24"/>
              </w:rPr>
              <w:t>pakalpojuma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>nepieciešamību;</w:t>
            </w:r>
          </w:p>
        </w:tc>
        <w:tc>
          <w:tcPr>
            <w:tcW w:w="3828" w:type="dxa"/>
          </w:tcPr>
          <w:p w14:paraId="4444CEA9" w14:textId="77777777" w:rsidR="005C6AF8" w:rsidRDefault="005C6AF8" w:rsidP="005C6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AF8" w14:paraId="5381881C" w14:textId="77777777" w:rsidTr="0026651B">
        <w:tc>
          <w:tcPr>
            <w:tcW w:w="696" w:type="dxa"/>
          </w:tcPr>
          <w:p w14:paraId="1FB4A85D" w14:textId="7E8FEF7C" w:rsidR="005C6AF8" w:rsidRDefault="005C6AF8" w:rsidP="005C6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5541" w:type="dxa"/>
          </w:tcPr>
          <w:p w14:paraId="09F4C00B" w14:textId="270A8B5E" w:rsidR="005C6AF8" w:rsidRPr="005C6AF8" w:rsidRDefault="005C6AF8" w:rsidP="005C6A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Pretendentam ir jānodrošina pieņemt Pasūtītāja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transportlīdzekli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servisā ārpus kārtas, bet ne vēlāk kā 1 (vienas) darba dienas laikā no Pasūtītāja telefoniska pieteikuma brīža par steidzamu un neatliekamu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riepu r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>emonta darbu veikšanu;</w:t>
            </w:r>
          </w:p>
        </w:tc>
        <w:tc>
          <w:tcPr>
            <w:tcW w:w="3828" w:type="dxa"/>
          </w:tcPr>
          <w:p w14:paraId="0D7819C6" w14:textId="77777777" w:rsidR="005C6AF8" w:rsidRDefault="005C6AF8" w:rsidP="005C6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AF8" w14:paraId="1D655F89" w14:textId="77777777" w:rsidTr="00933741">
        <w:tc>
          <w:tcPr>
            <w:tcW w:w="696" w:type="dxa"/>
          </w:tcPr>
          <w:p w14:paraId="778AB24F" w14:textId="1906724B" w:rsidR="005C6AF8" w:rsidRDefault="005C6AF8" w:rsidP="005C6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5541" w:type="dxa"/>
          </w:tcPr>
          <w:p w14:paraId="306045A7" w14:textId="72D37484" w:rsidR="005C6AF8" w:rsidRPr="005C6AF8" w:rsidRDefault="005C6AF8" w:rsidP="005C6A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saskaņo ar Pasūtītāju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riepu izmaksa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un 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>pakalpojumu darbus pirms darbu uzsākšanas;</w:t>
            </w:r>
          </w:p>
        </w:tc>
        <w:tc>
          <w:tcPr>
            <w:tcW w:w="3828" w:type="dxa"/>
          </w:tcPr>
          <w:p w14:paraId="785CDBB3" w14:textId="77777777" w:rsidR="005C6AF8" w:rsidRDefault="005C6AF8" w:rsidP="005C6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AF8" w14:paraId="248E8335" w14:textId="77777777" w:rsidTr="005E453D">
        <w:tc>
          <w:tcPr>
            <w:tcW w:w="696" w:type="dxa"/>
          </w:tcPr>
          <w:p w14:paraId="1B596A98" w14:textId="0BE102D7" w:rsidR="005C6AF8" w:rsidRDefault="005C6AF8" w:rsidP="005C6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5541" w:type="dxa"/>
          </w:tcPr>
          <w:p w14:paraId="4EF31AF2" w14:textId="16039B48" w:rsidR="005C6AF8" w:rsidRPr="005C6AF8" w:rsidRDefault="005C6AF8" w:rsidP="005C6A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Pretendentam nekavējoties jāinformē Pasūtītājs par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riepu montāžas, balansēšanas</w:t>
            </w:r>
            <w:r w:rsidR="006C3D4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maiņas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vai remonta darbu laikā konstatētaj</w:t>
            </w:r>
            <w:r w:rsidR="006C3D41">
              <w:rPr>
                <w:rFonts w:ascii="Times New Roman" w:eastAsia="Calibri" w:hAnsi="Times New Roman" w:cs="Times New Roman"/>
                <w:sz w:val="24"/>
                <w:szCs w:val="24"/>
              </w:rPr>
              <w:t>iem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3D41">
              <w:rPr>
                <w:rFonts w:ascii="Times New Roman" w:eastAsia="Calibri" w:hAnsi="Times New Roman" w:cs="Times New Roman"/>
                <w:sz w:val="24"/>
                <w:szCs w:val="24"/>
              </w:rPr>
              <w:t>riepu, disku defektiem, kas ietekmē ceļu satiksme drošību, par papildus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izmaksām</w:t>
            </w:r>
            <w:r w:rsidR="006C3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novēršanai</w:t>
            </w:r>
            <w:r w:rsidRPr="005C6AF8">
              <w:rPr>
                <w:rFonts w:ascii="Times New Roman" w:eastAsia="Calibri" w:hAnsi="Times New Roman" w:cs="Times New Roman"/>
                <w:sz w:val="24"/>
                <w:szCs w:val="24"/>
              </w:rPr>
              <w:t>, un tās jāsaskaņo ar Pasūtītāju pirms papildus darbu veikšanas;</w:t>
            </w:r>
          </w:p>
        </w:tc>
        <w:tc>
          <w:tcPr>
            <w:tcW w:w="3828" w:type="dxa"/>
          </w:tcPr>
          <w:p w14:paraId="5F5D979E" w14:textId="77777777" w:rsidR="005C6AF8" w:rsidRDefault="005C6AF8" w:rsidP="005C6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27C" w14:paraId="1C0655BA" w14:textId="77777777" w:rsidTr="00C53AF2">
        <w:tc>
          <w:tcPr>
            <w:tcW w:w="696" w:type="dxa"/>
            <w:tcBorders>
              <w:bottom w:val="single" w:sz="4" w:space="0" w:color="auto"/>
            </w:tcBorders>
          </w:tcPr>
          <w:p w14:paraId="6432D321" w14:textId="5DAFC4C7" w:rsidR="00F4227C" w:rsidRDefault="006C3D41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14:paraId="3500AED7" w14:textId="0811A26C" w:rsidR="00F4227C" w:rsidRPr="006C3D41" w:rsidRDefault="006C3D41" w:rsidP="00B015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D41">
              <w:rPr>
                <w:rFonts w:ascii="Times New Roman" w:eastAsia="Calibri" w:hAnsi="Times New Roman" w:cs="Times New Roman"/>
                <w:sz w:val="24"/>
                <w:szCs w:val="24"/>
              </w:rPr>
              <w:t>Pretendents nav tiesīgs pārvietot automobili pakalpojumu sniegšanas laikā, izņemot gadījumus, kad pārvietošana saskaņota ar Pasūtītāju;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6404E3C" w14:textId="77777777" w:rsidR="00F4227C" w:rsidRDefault="00F4227C" w:rsidP="00B0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134" w14:paraId="736A0FC4" w14:textId="77777777" w:rsidTr="00C12A78">
        <w:tc>
          <w:tcPr>
            <w:tcW w:w="696" w:type="dxa"/>
            <w:shd w:val="clear" w:color="auto" w:fill="D9D9D9" w:themeFill="background1" w:themeFillShade="D9"/>
          </w:tcPr>
          <w:p w14:paraId="6C253424" w14:textId="6D749AE8" w:rsidR="00DD6134" w:rsidRPr="00C43E7D" w:rsidRDefault="00DD6134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3E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69" w:type="dxa"/>
            <w:gridSpan w:val="2"/>
            <w:shd w:val="clear" w:color="auto" w:fill="D9D9D9" w:themeFill="background1" w:themeFillShade="D9"/>
          </w:tcPr>
          <w:p w14:paraId="71B62303" w14:textId="69F0769B" w:rsidR="00DD6134" w:rsidRPr="00C43E7D" w:rsidRDefault="00DD6134" w:rsidP="00DD61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Garantijas nosacījumi pakalpojumiem un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precēm</w:t>
            </w:r>
            <w:r w:rsidRPr="00C43E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43E7D" w14:paraId="7F687082" w14:textId="77777777" w:rsidTr="00C1421C">
        <w:tc>
          <w:tcPr>
            <w:tcW w:w="696" w:type="dxa"/>
          </w:tcPr>
          <w:p w14:paraId="7CE8E9C2" w14:textId="180DAC90" w:rsidR="00C43E7D" w:rsidRPr="00C43E7D" w:rsidRDefault="00C43E7D" w:rsidP="00C43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41" w:type="dxa"/>
          </w:tcPr>
          <w:p w14:paraId="0E5CAB3E" w14:textId="6B82FFBF" w:rsidR="00C43E7D" w:rsidRPr="008C7005" w:rsidRDefault="008C7005" w:rsidP="008C70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Garantijas laiks veiktajiem darbiem ne mazāk kā 6 mēneši </w:t>
            </w:r>
          </w:p>
        </w:tc>
        <w:tc>
          <w:tcPr>
            <w:tcW w:w="3828" w:type="dxa"/>
          </w:tcPr>
          <w:p w14:paraId="1422356E" w14:textId="77777777" w:rsidR="00C43E7D" w:rsidRPr="00C43E7D" w:rsidRDefault="00C43E7D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7D" w14:paraId="2C3B5D94" w14:textId="77777777" w:rsidTr="00C1421C">
        <w:tc>
          <w:tcPr>
            <w:tcW w:w="696" w:type="dxa"/>
          </w:tcPr>
          <w:p w14:paraId="62A7EE69" w14:textId="01D42F95" w:rsidR="00C43E7D" w:rsidRPr="00C43E7D" w:rsidRDefault="00C43E7D" w:rsidP="00C43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41" w:type="dxa"/>
          </w:tcPr>
          <w:p w14:paraId="5F722622" w14:textId="134558E4" w:rsidR="00C43E7D" w:rsidRPr="00C43E7D" w:rsidRDefault="00250D0A" w:rsidP="008C70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Preces g</w:t>
            </w:r>
            <w:r w:rsidR="008C7005" w:rsidRPr="008C7005">
              <w:rPr>
                <w:rFonts w:ascii="Times New Roman" w:eastAsia="Calibri" w:hAnsi="Times New Roman" w:cs="Times New Roman"/>
                <w:sz w:val="24"/>
                <w:szCs w:val="24"/>
              </w:rPr>
              <w:t>arantijas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termiņš nav mazāks par 12 mēnešiem</w:t>
            </w:r>
          </w:p>
        </w:tc>
        <w:tc>
          <w:tcPr>
            <w:tcW w:w="3828" w:type="dxa"/>
          </w:tcPr>
          <w:p w14:paraId="392DC716" w14:textId="77777777" w:rsidR="00C43E7D" w:rsidRPr="00C43E7D" w:rsidRDefault="00C43E7D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7D" w14:paraId="44B22698" w14:textId="77777777" w:rsidTr="00C1421C">
        <w:tc>
          <w:tcPr>
            <w:tcW w:w="696" w:type="dxa"/>
          </w:tcPr>
          <w:p w14:paraId="516CF0BB" w14:textId="0137C8D1" w:rsidR="00C43E7D" w:rsidRPr="00C43E7D" w:rsidRDefault="00C43E7D" w:rsidP="00C43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41" w:type="dxa"/>
          </w:tcPr>
          <w:p w14:paraId="5B5C1F5B" w14:textId="24B7C745" w:rsidR="00C43E7D" w:rsidRPr="00C43E7D" w:rsidRDefault="00250D0A" w:rsidP="00250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0A">
              <w:rPr>
                <w:rFonts w:ascii="Times New Roman" w:eastAsia="Calibri" w:hAnsi="Times New Roman" w:cs="Times New Roman"/>
                <w:sz w:val="24"/>
                <w:szCs w:val="24"/>
              </w:rPr>
              <w:t>Pretendents, pēc Pasūtītāja pieteiktās pretenzijas, novērš trūkumus ne ilgāk kā 1 (vienas) darba dienas laikā no pretenzijas pieteikuma brīža.</w:t>
            </w:r>
          </w:p>
        </w:tc>
        <w:tc>
          <w:tcPr>
            <w:tcW w:w="3828" w:type="dxa"/>
          </w:tcPr>
          <w:p w14:paraId="782BD5B3" w14:textId="77777777" w:rsidR="00C43E7D" w:rsidRPr="00C43E7D" w:rsidRDefault="00C43E7D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7D" w14:paraId="1527E300" w14:textId="77777777" w:rsidTr="00C1421C">
        <w:tc>
          <w:tcPr>
            <w:tcW w:w="696" w:type="dxa"/>
          </w:tcPr>
          <w:p w14:paraId="0E453E7E" w14:textId="69646EFB" w:rsidR="00C43E7D" w:rsidRPr="00C43E7D" w:rsidRDefault="00C53AF2" w:rsidP="00C43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41" w:type="dxa"/>
          </w:tcPr>
          <w:p w14:paraId="117B1AA7" w14:textId="12FDFCBF" w:rsidR="00C43E7D" w:rsidRPr="00C43E7D" w:rsidRDefault="00C53AF2" w:rsidP="00C53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F2">
              <w:rPr>
                <w:rFonts w:ascii="Times New Roman" w:eastAsia="Calibri" w:hAnsi="Times New Roman" w:cs="Times New Roman"/>
                <w:sz w:val="24"/>
                <w:szCs w:val="24"/>
              </w:rPr>
              <w:t>Precei ir jāatbilst visiem standartiem un prasībām, kas atteicas uz šādu Preču tirdzniecību un ir spēkā Latvijas Republikas teritorijā.</w:t>
            </w:r>
          </w:p>
        </w:tc>
        <w:tc>
          <w:tcPr>
            <w:tcW w:w="3828" w:type="dxa"/>
          </w:tcPr>
          <w:p w14:paraId="3ABA38F5" w14:textId="77777777" w:rsidR="00C43E7D" w:rsidRPr="00C43E7D" w:rsidRDefault="00C43E7D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7D" w14:paraId="48E61773" w14:textId="77777777" w:rsidTr="00CD6533">
        <w:tc>
          <w:tcPr>
            <w:tcW w:w="696" w:type="dxa"/>
          </w:tcPr>
          <w:p w14:paraId="1B53FF98" w14:textId="57135417" w:rsidR="00C43E7D" w:rsidRPr="00C43E7D" w:rsidRDefault="00C53AF2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4.5.</w:t>
            </w:r>
          </w:p>
        </w:tc>
        <w:tc>
          <w:tcPr>
            <w:tcW w:w="5541" w:type="dxa"/>
          </w:tcPr>
          <w:p w14:paraId="7503BFD5" w14:textId="2B33865E" w:rsidR="00C43E7D" w:rsidRPr="00C43E7D" w:rsidRDefault="008C7005" w:rsidP="008C7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5">
              <w:rPr>
                <w:rFonts w:ascii="Times New Roman" w:hAnsi="Times New Roman" w:cs="Times New Roman"/>
                <w:sz w:val="24"/>
                <w:szCs w:val="24"/>
              </w:rPr>
              <w:t>Piedāvātas Preces ražotājiem ir jābūt Eiropas riepu un gumijas ražotāju asociācijas (ETRMA) biedriem.</w:t>
            </w:r>
          </w:p>
        </w:tc>
        <w:tc>
          <w:tcPr>
            <w:tcW w:w="3828" w:type="dxa"/>
          </w:tcPr>
          <w:p w14:paraId="2BE3454B" w14:textId="77777777" w:rsidR="00C43E7D" w:rsidRPr="00C43E7D" w:rsidRDefault="00C43E7D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F2" w14:paraId="68616FB7" w14:textId="77777777" w:rsidTr="00CD6533">
        <w:tc>
          <w:tcPr>
            <w:tcW w:w="696" w:type="dxa"/>
          </w:tcPr>
          <w:p w14:paraId="71489CD3" w14:textId="048620AF" w:rsidR="00C53AF2" w:rsidRPr="00C43E7D" w:rsidRDefault="00C53AF2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4.6.</w:t>
            </w:r>
          </w:p>
        </w:tc>
        <w:tc>
          <w:tcPr>
            <w:tcW w:w="5541" w:type="dxa"/>
          </w:tcPr>
          <w:p w14:paraId="09B53906" w14:textId="29189EE0" w:rsidR="00C53AF2" w:rsidRPr="008C7005" w:rsidRDefault="00C53AF2" w:rsidP="008C7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3876D3">
              <w:rPr>
                <w:rFonts w:ascii="Times New Roman" w:hAnsi="Times New Roman" w:cs="Times New Roman"/>
                <w:bCs/>
                <w:sz w:val="24"/>
                <w:szCs w:val="24"/>
              </w:rPr>
              <w:t>iedāvājumā iekļauj tikai jaunas (saņemšanas brīdī ne vecākas par 12 mēnešiem), nelietotas, nerestaurētas riepas,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norāda</w:t>
            </w:r>
            <w:r w:rsidRPr="0038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riepu marķējuma piln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38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atšifrējum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 Finanšu piedāvājuma tabulā</w:t>
            </w:r>
            <w:r w:rsidRPr="003876D3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3828" w:type="dxa"/>
          </w:tcPr>
          <w:p w14:paraId="08596417" w14:textId="77777777" w:rsidR="00C53AF2" w:rsidRPr="00C43E7D" w:rsidRDefault="00C53AF2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D5" w14:paraId="1EE5E7D3" w14:textId="77777777" w:rsidTr="00CD6533">
        <w:tc>
          <w:tcPr>
            <w:tcW w:w="696" w:type="dxa"/>
          </w:tcPr>
          <w:p w14:paraId="68D765AF" w14:textId="6742F50F" w:rsidR="004A4CD5" w:rsidRDefault="004A4CD5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4.7.</w:t>
            </w:r>
          </w:p>
        </w:tc>
        <w:tc>
          <w:tcPr>
            <w:tcW w:w="5541" w:type="dxa"/>
          </w:tcPr>
          <w:p w14:paraId="2A64CB75" w14:textId="7AEEB45D" w:rsidR="004A4CD5" w:rsidRDefault="00426744" w:rsidP="008C7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744">
              <w:rPr>
                <w:rFonts w:ascii="Times New Roman" w:hAnsi="Times New Roman" w:cs="Times New Roman"/>
                <w:bCs/>
                <w:sz w:val="24"/>
                <w:szCs w:val="24"/>
              </w:rPr>
              <w:t>Pretendents sniedzot pakalpojumu 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ī</w:t>
            </w:r>
            <w:r w:rsidRPr="00426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iepirkuma ietvaros nodrošina Talsu novada pašvaldības transportlīdzekļu nolietoto, veco riepu pieņemšanu bez papildus maksas.</w:t>
            </w:r>
            <w:r w:rsidR="004A4CD5" w:rsidRPr="004A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77DE1C05" w14:textId="77777777" w:rsidR="004A4CD5" w:rsidRPr="00C43E7D" w:rsidRDefault="004A4CD5" w:rsidP="00C4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1F" w14:paraId="793C4AB9" w14:textId="77777777" w:rsidTr="00DD6134">
        <w:trPr>
          <w:trHeight w:val="293"/>
        </w:trPr>
        <w:tc>
          <w:tcPr>
            <w:tcW w:w="10065" w:type="dxa"/>
            <w:gridSpan w:val="3"/>
            <w:shd w:val="pct15" w:color="auto" w:fill="auto"/>
          </w:tcPr>
          <w:p w14:paraId="6A2DC71B" w14:textId="77777777" w:rsidR="00B0151F" w:rsidRPr="00D94148" w:rsidRDefault="00B0151F" w:rsidP="00B0151F">
            <w:pPr>
              <w:spacing w:after="120"/>
              <w:rPr>
                <w:sz w:val="16"/>
                <w:szCs w:val="16"/>
              </w:rPr>
            </w:pPr>
          </w:p>
        </w:tc>
      </w:tr>
      <w:tr w:rsidR="00DD6134" w14:paraId="192F71C7" w14:textId="77777777" w:rsidTr="003876D3">
        <w:tc>
          <w:tcPr>
            <w:tcW w:w="696" w:type="dxa"/>
          </w:tcPr>
          <w:p w14:paraId="51988057" w14:textId="5556041B" w:rsidR="00DD6134" w:rsidRDefault="000C3C2A" w:rsidP="00B015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DD6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41" w:type="dxa"/>
          </w:tcPr>
          <w:p w14:paraId="628065EA" w14:textId="4C2C93AB" w:rsidR="00DD6134" w:rsidRPr="00DD6134" w:rsidRDefault="00DD6134" w:rsidP="00B0151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Servisa adrese un attālums, km (kilometru attālums līdz pasūtītāja tuvākajai norādītajai adresei (Talsu novads, Talsi, Kareivju iela 7) bet ne tālāk par 5km no pretendenta norādītās adreses, attāluma noteikšanai </w:t>
            </w:r>
            <w:r w:rsidRPr="00DD6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izmantot interneta vietni http://maps.google.com pieejamo informāciju)</w:t>
            </w:r>
          </w:p>
        </w:tc>
        <w:tc>
          <w:tcPr>
            <w:tcW w:w="3828" w:type="dxa"/>
          </w:tcPr>
          <w:p w14:paraId="72D2B9D1" w14:textId="77777777" w:rsidR="00DD6134" w:rsidRDefault="00DD6134" w:rsidP="00B0151F">
            <w:pPr>
              <w:spacing w:after="120"/>
              <w:rPr>
                <w:sz w:val="24"/>
                <w:szCs w:val="24"/>
              </w:rPr>
            </w:pPr>
          </w:p>
        </w:tc>
      </w:tr>
      <w:tr w:rsidR="00DD6134" w14:paraId="77D47082" w14:textId="77777777" w:rsidTr="003876D3">
        <w:tc>
          <w:tcPr>
            <w:tcW w:w="696" w:type="dxa"/>
          </w:tcPr>
          <w:p w14:paraId="571146E9" w14:textId="714AF563" w:rsidR="00DD6134" w:rsidRDefault="000C3C2A" w:rsidP="00DD61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DD6134" w:rsidRPr="002508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41" w:type="dxa"/>
          </w:tcPr>
          <w:p w14:paraId="4CDA4C55" w14:textId="5C5E70FA" w:rsidR="00DD6134" w:rsidRDefault="00DD6134" w:rsidP="00DD61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Līguma darbības laikā</w:t>
            </w:r>
            <w:r w:rsidRPr="0098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Pasūtītāj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98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4CD5">
              <w:rPr>
                <w:rFonts w:ascii="Times New Roman" w:eastAsia="Calibri" w:hAnsi="Times New Roman" w:cs="Times New Roman"/>
                <w:sz w:val="24"/>
                <w:szCs w:val="24"/>
              </w:rPr>
              <w:t>ir tiesības</w:t>
            </w:r>
            <w:r w:rsidRPr="0098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iegādāties sarakstā neminētas riepas un ar tām saistītos materiālus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</w:t>
            </w:r>
            <w:r w:rsidRPr="0098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Pretendentam tās jāpiedāvā par cenām, kas nepārsniedz  mazumtirdzniecības vidējās tirgus cenas.</w:t>
            </w:r>
          </w:p>
        </w:tc>
        <w:tc>
          <w:tcPr>
            <w:tcW w:w="3828" w:type="dxa"/>
          </w:tcPr>
          <w:p w14:paraId="6DAF4419" w14:textId="77777777" w:rsidR="00DD6134" w:rsidRDefault="00DD6134" w:rsidP="00DD6134">
            <w:pPr>
              <w:spacing w:after="120"/>
              <w:rPr>
                <w:sz w:val="24"/>
                <w:szCs w:val="24"/>
              </w:rPr>
            </w:pPr>
          </w:p>
        </w:tc>
      </w:tr>
      <w:tr w:rsidR="00B0151F" w14:paraId="6847DC07" w14:textId="77777777" w:rsidTr="003876D3">
        <w:tc>
          <w:tcPr>
            <w:tcW w:w="696" w:type="dxa"/>
          </w:tcPr>
          <w:p w14:paraId="65D4709C" w14:textId="281D477F" w:rsidR="00B0151F" w:rsidRPr="0025085B" w:rsidRDefault="000C3C2A" w:rsidP="00B015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="004A4C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41" w:type="dxa"/>
          </w:tcPr>
          <w:p w14:paraId="337B2897" w14:textId="0E5BAC85" w:rsidR="00B0151F" w:rsidRPr="007E6997" w:rsidRDefault="004A4CD5" w:rsidP="004A4CD5">
            <w:pPr>
              <w:pStyle w:val="Default"/>
            </w:pPr>
            <w:r w:rsidRPr="004A4CD5">
              <w:t xml:space="preserve">Pasūtītājam ir tiesības pasūtīt preci, kura nav iekļauta finanšu piedāvājumā, uz tādiem pašiem noteikumiem, bet ne vairāk kā 10 % (procenti) no līguma summas. </w:t>
            </w:r>
          </w:p>
        </w:tc>
        <w:tc>
          <w:tcPr>
            <w:tcW w:w="3828" w:type="dxa"/>
          </w:tcPr>
          <w:p w14:paraId="16D0EE04" w14:textId="77777777" w:rsidR="00B0151F" w:rsidRDefault="00B0151F" w:rsidP="00B0151F">
            <w:pPr>
              <w:spacing w:after="120"/>
              <w:rPr>
                <w:sz w:val="24"/>
                <w:szCs w:val="24"/>
              </w:rPr>
            </w:pPr>
          </w:p>
        </w:tc>
      </w:tr>
      <w:tr w:rsidR="004A4CD5" w14:paraId="5ACAB6DC" w14:textId="77777777" w:rsidTr="003876D3">
        <w:tc>
          <w:tcPr>
            <w:tcW w:w="696" w:type="dxa"/>
          </w:tcPr>
          <w:p w14:paraId="2C57CBD8" w14:textId="42BAD0DA" w:rsidR="004A4CD5" w:rsidRDefault="000C3C2A" w:rsidP="004A4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="004A4CD5" w:rsidRPr="002508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41" w:type="dxa"/>
          </w:tcPr>
          <w:p w14:paraId="3F33E2C7" w14:textId="1AC97470" w:rsidR="004A4CD5" w:rsidRPr="00984082" w:rsidRDefault="004A4CD5" w:rsidP="004A4CD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82">
              <w:rPr>
                <w:rFonts w:ascii="Times New Roman" w:eastAsia="Calibri" w:hAnsi="Times New Roman" w:cs="Times New Roman"/>
                <w:sz w:val="24"/>
                <w:szCs w:val="24"/>
              </w:rPr>
              <w:t>Pasūtītājs negarantē līguma darbības laikā visu norādīto preču un darbu nepieciešamību un iegādi</w:t>
            </w:r>
            <w:r w:rsidRPr="0025085B">
              <w:rPr>
                <w:rFonts w:ascii="Times New Roman" w:eastAsia="Calibri" w:hAnsi="Times New Roman" w:cs="Times New Roman"/>
                <w:sz w:val="24"/>
                <w:szCs w:val="24"/>
              </w:rPr>
              <w:t>, kas iekļautas Finanšu piedāvājum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ā</w:t>
            </w:r>
            <w:r w:rsidRPr="002508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48FC6CE" w14:textId="77777777" w:rsidR="004A4CD5" w:rsidRDefault="004A4CD5" w:rsidP="004A4CD5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A0FABB6" w14:textId="77777777" w:rsidR="00E2622A" w:rsidRPr="00266057" w:rsidRDefault="00E2622A" w:rsidP="00E2622A">
      <w:pPr>
        <w:spacing w:after="12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B4D9CB0" w14:textId="77777777" w:rsidR="00266057" w:rsidRPr="00266057" w:rsidRDefault="00266057" w:rsidP="00266057">
      <w:pPr>
        <w:pStyle w:val="Vresteksts"/>
      </w:pPr>
      <w:r>
        <w:rPr>
          <w:rStyle w:val="Vresatsauce"/>
        </w:rPr>
        <w:footnoteRef/>
      </w:r>
      <w:r>
        <w:t xml:space="preserve"> - aizpilda pretendents, katrā ailē ierakstot vārdu </w:t>
      </w:r>
      <w:r w:rsidRPr="00266057">
        <w:rPr>
          <w:b/>
          <w:bCs/>
        </w:rPr>
        <w:t>“Apliecinām”</w:t>
      </w:r>
      <w:r>
        <w:t xml:space="preserve"> vai </w:t>
      </w:r>
      <w:r w:rsidRPr="00266057">
        <w:rPr>
          <w:b/>
          <w:bCs/>
        </w:rPr>
        <w:t>“Nodrošināsim”</w:t>
      </w:r>
      <w:r w:rsidRPr="00266057">
        <w:t xml:space="preserve">, vai </w:t>
      </w:r>
      <w:r>
        <w:rPr>
          <w:b/>
          <w:bCs/>
        </w:rPr>
        <w:t>“Piekrītam”</w:t>
      </w:r>
      <w:r w:rsidRPr="00266057">
        <w:t xml:space="preserve">, vai </w:t>
      </w:r>
      <w:r>
        <w:t>citādi raksturojot savas iespējas nodrošināt prasību ievērošanu.</w:t>
      </w:r>
    </w:p>
    <w:p w14:paraId="463B513D" w14:textId="77777777" w:rsidR="00E2622A" w:rsidRDefault="00E2622A" w:rsidP="00266057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5C2683" w:rsidRPr="00F60A29" w14:paraId="574815F8" w14:textId="77777777" w:rsidTr="005C2683">
        <w:trPr>
          <w:trHeight w:val="390"/>
        </w:trPr>
        <w:tc>
          <w:tcPr>
            <w:tcW w:w="3402" w:type="dxa"/>
            <w:vAlign w:val="center"/>
          </w:tcPr>
          <w:p w14:paraId="374216DB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Pretendenta nosaukums:</w:t>
            </w:r>
          </w:p>
        </w:tc>
        <w:tc>
          <w:tcPr>
            <w:tcW w:w="6663" w:type="dxa"/>
            <w:vAlign w:val="center"/>
          </w:tcPr>
          <w:p w14:paraId="7D739C82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6D25C548" w14:textId="77777777" w:rsidTr="005C2683">
        <w:trPr>
          <w:trHeight w:val="390"/>
        </w:trPr>
        <w:tc>
          <w:tcPr>
            <w:tcW w:w="3402" w:type="dxa"/>
            <w:vAlign w:val="center"/>
          </w:tcPr>
          <w:p w14:paraId="037FB6EB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Amatpersonas vārds, uzvārds</w:t>
            </w:r>
          </w:p>
        </w:tc>
        <w:tc>
          <w:tcPr>
            <w:tcW w:w="6663" w:type="dxa"/>
            <w:vAlign w:val="center"/>
          </w:tcPr>
          <w:p w14:paraId="55991775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00F7E3D1" w14:textId="77777777" w:rsidTr="005C2683">
        <w:trPr>
          <w:trHeight w:val="390"/>
        </w:trPr>
        <w:tc>
          <w:tcPr>
            <w:tcW w:w="3402" w:type="dxa"/>
            <w:vAlign w:val="center"/>
          </w:tcPr>
          <w:p w14:paraId="5D0E5CEE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Ieņemamā amata nosaukums:</w:t>
            </w:r>
          </w:p>
        </w:tc>
        <w:tc>
          <w:tcPr>
            <w:tcW w:w="6663" w:type="dxa"/>
            <w:vAlign w:val="center"/>
          </w:tcPr>
          <w:p w14:paraId="0B100762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73A9A1AC" w14:textId="77777777" w:rsidTr="005C2683">
        <w:trPr>
          <w:trHeight w:val="567"/>
        </w:trPr>
        <w:tc>
          <w:tcPr>
            <w:tcW w:w="3402" w:type="dxa"/>
            <w:vAlign w:val="center"/>
          </w:tcPr>
          <w:p w14:paraId="40EB78A8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Amatpersonas paraksts:</w:t>
            </w:r>
          </w:p>
        </w:tc>
        <w:tc>
          <w:tcPr>
            <w:tcW w:w="6663" w:type="dxa"/>
            <w:vAlign w:val="center"/>
          </w:tcPr>
          <w:p w14:paraId="2480938F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706181EE" w14:textId="77777777" w:rsidTr="005C2683">
        <w:trPr>
          <w:trHeight w:val="567"/>
        </w:trPr>
        <w:tc>
          <w:tcPr>
            <w:tcW w:w="3402" w:type="dxa"/>
            <w:vAlign w:val="center"/>
          </w:tcPr>
          <w:p w14:paraId="4DAC43B0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Datums</w:t>
            </w:r>
            <w:r>
              <w:rPr>
                <w:rFonts w:ascii="Times New Roman" w:hAnsi="Times New Roman" w:cs="Times New Roman"/>
                <w:b/>
                <w:kern w:val="28"/>
                <w:lang w:eastAsia="lv-LV"/>
              </w:rPr>
              <w:t xml:space="preserve"> un laiks</w:t>
            </w:r>
          </w:p>
        </w:tc>
        <w:tc>
          <w:tcPr>
            <w:tcW w:w="6663" w:type="dxa"/>
            <w:vAlign w:val="center"/>
          </w:tcPr>
          <w:p w14:paraId="64AD88AF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</w:tbl>
    <w:p w14:paraId="1A840554" w14:textId="77777777" w:rsidR="00A7757B" w:rsidRDefault="00A7757B" w:rsidP="001842CC"/>
    <w:sectPr w:rsidR="00A7757B" w:rsidSect="00941E1A">
      <w:headerReference w:type="default" r:id="rId8"/>
      <w:footerReference w:type="default" r:id="rId9"/>
      <w:pgSz w:w="11906" w:h="16838"/>
      <w:pgMar w:top="1440" w:right="991" w:bottom="993" w:left="851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1E902" w14:textId="77777777" w:rsidR="00EF7C99" w:rsidRDefault="00EF7C99" w:rsidP="00E2622A">
      <w:pPr>
        <w:spacing w:after="0" w:line="240" w:lineRule="auto"/>
      </w:pPr>
      <w:r>
        <w:separator/>
      </w:r>
    </w:p>
  </w:endnote>
  <w:endnote w:type="continuationSeparator" w:id="0">
    <w:p w14:paraId="6D0DEBEF" w14:textId="77777777" w:rsidR="00EF7C99" w:rsidRDefault="00EF7C99" w:rsidP="00E2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7769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5EF719E" w14:textId="77777777" w:rsidR="00E2622A" w:rsidRPr="00E2622A" w:rsidRDefault="00E2622A" w:rsidP="00E2622A">
        <w:pPr>
          <w:pStyle w:val="Kjene"/>
          <w:tabs>
            <w:tab w:val="clear" w:pos="8306"/>
          </w:tabs>
          <w:ind w:right="-105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62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62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62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0FF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2622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DE65CB8" w14:textId="77777777" w:rsidR="00E2622A" w:rsidRDefault="00E262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98FF" w14:textId="77777777" w:rsidR="00EF7C99" w:rsidRDefault="00EF7C99" w:rsidP="00E2622A">
      <w:pPr>
        <w:spacing w:after="0" w:line="240" w:lineRule="auto"/>
      </w:pPr>
      <w:r>
        <w:separator/>
      </w:r>
    </w:p>
  </w:footnote>
  <w:footnote w:type="continuationSeparator" w:id="0">
    <w:p w14:paraId="1EEB4A45" w14:textId="77777777" w:rsidR="00EF7C99" w:rsidRDefault="00EF7C99" w:rsidP="00E2622A">
      <w:pPr>
        <w:spacing w:after="0" w:line="240" w:lineRule="auto"/>
      </w:pPr>
      <w:r>
        <w:continuationSeparator/>
      </w:r>
    </w:p>
  </w:footnote>
  <w:footnote w:id="1">
    <w:p w14:paraId="14B7355E" w14:textId="5B80E1E1" w:rsidR="003876D3" w:rsidRPr="00266057" w:rsidRDefault="003876D3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F7528" w14:textId="0DD4DC6E" w:rsidR="00E2622A" w:rsidRDefault="006E0FF7" w:rsidP="00941E1A">
    <w:pPr>
      <w:pStyle w:val="Galvene"/>
      <w:pBdr>
        <w:bottom w:val="single" w:sz="12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Pielikums Nr.2</w:t>
    </w:r>
  </w:p>
  <w:p w14:paraId="3A191CA3" w14:textId="1F90F7E7" w:rsidR="007F06F7" w:rsidRDefault="00984082" w:rsidP="00984082">
    <w:pPr>
      <w:pStyle w:val="Galvene"/>
      <w:pBdr>
        <w:bottom w:val="single" w:sz="12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 w:rsidRPr="00984082">
      <w:rPr>
        <w:rFonts w:ascii="Times New Roman" w:hAnsi="Times New Roman" w:cs="Times New Roman"/>
        <w:sz w:val="20"/>
        <w:szCs w:val="20"/>
      </w:rPr>
      <w:t>“Talsu novada pašvaldības vieglo automobiļu un mikroautobusu riepu iepirkums”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6A0"/>
    <w:multiLevelType w:val="hybridMultilevel"/>
    <w:tmpl w:val="C798C74E"/>
    <w:lvl w:ilvl="0" w:tplc="A40AAF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/>
        <w:i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4106E"/>
    <w:multiLevelType w:val="hybridMultilevel"/>
    <w:tmpl w:val="38C4284A"/>
    <w:lvl w:ilvl="0" w:tplc="A0D23A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97761"/>
    <w:multiLevelType w:val="hybridMultilevel"/>
    <w:tmpl w:val="43CE9C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0DAB"/>
    <w:multiLevelType w:val="hybridMultilevel"/>
    <w:tmpl w:val="DC10E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7389"/>
    <w:multiLevelType w:val="hybridMultilevel"/>
    <w:tmpl w:val="608C6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2A"/>
    <w:rsid w:val="00012744"/>
    <w:rsid w:val="00031947"/>
    <w:rsid w:val="00032E72"/>
    <w:rsid w:val="000417C0"/>
    <w:rsid w:val="0004700A"/>
    <w:rsid w:val="000C3C2A"/>
    <w:rsid w:val="001347AD"/>
    <w:rsid w:val="001842CC"/>
    <w:rsid w:val="001F60A8"/>
    <w:rsid w:val="0025085B"/>
    <w:rsid w:val="00250D0A"/>
    <w:rsid w:val="00262E14"/>
    <w:rsid w:val="00266057"/>
    <w:rsid w:val="002935D4"/>
    <w:rsid w:val="002E203A"/>
    <w:rsid w:val="00303023"/>
    <w:rsid w:val="00314D92"/>
    <w:rsid w:val="00320F99"/>
    <w:rsid w:val="00354534"/>
    <w:rsid w:val="00364A56"/>
    <w:rsid w:val="00375FDF"/>
    <w:rsid w:val="003876D3"/>
    <w:rsid w:val="003C67E4"/>
    <w:rsid w:val="003E25AF"/>
    <w:rsid w:val="00426744"/>
    <w:rsid w:val="00480E4D"/>
    <w:rsid w:val="004840C0"/>
    <w:rsid w:val="004A4CD5"/>
    <w:rsid w:val="004B2EA0"/>
    <w:rsid w:val="004C5779"/>
    <w:rsid w:val="004F7D93"/>
    <w:rsid w:val="0052064E"/>
    <w:rsid w:val="00545BE4"/>
    <w:rsid w:val="0055663F"/>
    <w:rsid w:val="00584A10"/>
    <w:rsid w:val="005853C9"/>
    <w:rsid w:val="00596FC8"/>
    <w:rsid w:val="005C2683"/>
    <w:rsid w:val="005C6AF8"/>
    <w:rsid w:val="00635FC3"/>
    <w:rsid w:val="00660CDA"/>
    <w:rsid w:val="006B0571"/>
    <w:rsid w:val="006B743A"/>
    <w:rsid w:val="006C3D41"/>
    <w:rsid w:val="006E0FF7"/>
    <w:rsid w:val="006F0814"/>
    <w:rsid w:val="007120E0"/>
    <w:rsid w:val="00755579"/>
    <w:rsid w:val="00757CFC"/>
    <w:rsid w:val="007B21B4"/>
    <w:rsid w:val="007E6997"/>
    <w:rsid w:val="007F06F7"/>
    <w:rsid w:val="008240DA"/>
    <w:rsid w:val="00866A86"/>
    <w:rsid w:val="008C7005"/>
    <w:rsid w:val="0092009A"/>
    <w:rsid w:val="00941E1A"/>
    <w:rsid w:val="0095113D"/>
    <w:rsid w:val="00957474"/>
    <w:rsid w:val="00984082"/>
    <w:rsid w:val="009A20BE"/>
    <w:rsid w:val="009A4D85"/>
    <w:rsid w:val="009E354D"/>
    <w:rsid w:val="00A04CDC"/>
    <w:rsid w:val="00A13FD0"/>
    <w:rsid w:val="00A663D7"/>
    <w:rsid w:val="00A7757B"/>
    <w:rsid w:val="00A86621"/>
    <w:rsid w:val="00AA1B85"/>
    <w:rsid w:val="00B0151F"/>
    <w:rsid w:val="00B423A9"/>
    <w:rsid w:val="00B71F99"/>
    <w:rsid w:val="00B87202"/>
    <w:rsid w:val="00BF25D7"/>
    <w:rsid w:val="00C15A42"/>
    <w:rsid w:val="00C43E7D"/>
    <w:rsid w:val="00C53AF2"/>
    <w:rsid w:val="00C630BE"/>
    <w:rsid w:val="00C67CC1"/>
    <w:rsid w:val="00CF1E18"/>
    <w:rsid w:val="00CF5E85"/>
    <w:rsid w:val="00D067B0"/>
    <w:rsid w:val="00D24270"/>
    <w:rsid w:val="00D36A40"/>
    <w:rsid w:val="00D94148"/>
    <w:rsid w:val="00DC5542"/>
    <w:rsid w:val="00DD490A"/>
    <w:rsid w:val="00DD6134"/>
    <w:rsid w:val="00DD6AEC"/>
    <w:rsid w:val="00DE777A"/>
    <w:rsid w:val="00DF4164"/>
    <w:rsid w:val="00E2622A"/>
    <w:rsid w:val="00EF7C99"/>
    <w:rsid w:val="00F17F09"/>
    <w:rsid w:val="00F23F64"/>
    <w:rsid w:val="00F31D3F"/>
    <w:rsid w:val="00F4227C"/>
    <w:rsid w:val="00F423B8"/>
    <w:rsid w:val="00F96A24"/>
    <w:rsid w:val="00FB133B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8B797"/>
  <w15:chartTrackingRefBased/>
  <w15:docId w15:val="{A672377E-B633-494B-A24E-6B572A3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62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rsid w:val="0036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6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64A56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Galvene">
    <w:name w:val="header"/>
    <w:basedOn w:val="Parasts"/>
    <w:link w:val="GalveneRakstz"/>
    <w:unhideWhenUsed/>
    <w:rsid w:val="00E262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2622A"/>
    <w:rPr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2622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622A"/>
    <w:rPr>
      <w:sz w:val="24"/>
      <w:szCs w:val="24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62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E2622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2622A"/>
    <w:rPr>
      <w:color w:val="0563C1" w:themeColor="hyperlink"/>
      <w:u w:val="single"/>
    </w:rPr>
  </w:style>
  <w:style w:type="table" w:styleId="Reatabula">
    <w:name w:val="Table Grid"/>
    <w:basedOn w:val="Parastatabula"/>
    <w:rsid w:val="00E2622A"/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26605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66057"/>
    <w:rPr>
      <w:rFonts w:asciiTheme="minorHAnsi" w:eastAsiaTheme="minorHAnsi" w:hAnsiTheme="minorHAnsi" w:cstheme="minorBidi"/>
    </w:rPr>
  </w:style>
  <w:style w:type="character" w:styleId="Vresatsauce">
    <w:name w:val="footnote reference"/>
    <w:basedOn w:val="Noklusjumarindkopasfonts"/>
    <w:uiPriority w:val="99"/>
    <w:semiHidden/>
    <w:unhideWhenUsed/>
    <w:rsid w:val="00266057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72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720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7202"/>
    <w:rPr>
      <w:rFonts w:asciiTheme="minorHAnsi" w:eastAsiaTheme="minorHAnsi" w:hAnsiTheme="minorHAnsi" w:cstheme="minorBid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72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7202"/>
    <w:rPr>
      <w:rFonts w:asciiTheme="minorHAnsi" w:eastAsiaTheme="minorHAnsi" w:hAnsiTheme="minorHAnsi" w:cstheme="minorBidi"/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202"/>
    <w:rPr>
      <w:rFonts w:ascii="Segoe UI" w:eastAsiaTheme="minorHAnsi" w:hAnsi="Segoe UI" w:cs="Segoe UI"/>
      <w:sz w:val="18"/>
      <w:szCs w:val="18"/>
    </w:rPr>
  </w:style>
  <w:style w:type="paragraph" w:customStyle="1" w:styleId="Default">
    <w:name w:val="Default"/>
    <w:rsid w:val="004A4C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4DCC-3581-417C-9984-7772E57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3517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Vinogradova</dc:creator>
  <cp:keywords/>
  <dc:description/>
  <cp:lastModifiedBy>Gints Neivarts</cp:lastModifiedBy>
  <cp:revision>17</cp:revision>
  <dcterms:created xsi:type="dcterms:W3CDTF">2021-01-12T09:56:00Z</dcterms:created>
  <dcterms:modified xsi:type="dcterms:W3CDTF">2021-02-25T12:49:00Z</dcterms:modified>
</cp:coreProperties>
</file>