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FA" w:rsidRPr="00EF78FA" w:rsidRDefault="00EF78FA" w:rsidP="00EF78FA">
      <w:pPr>
        <w:tabs>
          <w:tab w:val="left" w:pos="3560"/>
        </w:tabs>
        <w:spacing w:after="0" w:line="240" w:lineRule="auto"/>
        <w:rPr>
          <w:rFonts w:ascii="Calibri" w:eastAsia="Calibri" w:hAnsi="Calibri"/>
          <w:sz w:val="22"/>
          <w:szCs w:val="22"/>
          <w:lang w:eastAsia="en-US"/>
        </w:rPr>
      </w:pPr>
    </w:p>
    <w:p w:rsidR="005D32EB" w:rsidRPr="005D32EB" w:rsidRDefault="005D32EB" w:rsidP="005D32EB">
      <w:pPr>
        <w:tabs>
          <w:tab w:val="num" w:pos="0"/>
        </w:tabs>
        <w:spacing w:after="0" w:line="240" w:lineRule="auto"/>
        <w:ind w:left="284" w:hanging="284"/>
        <w:jc w:val="right"/>
        <w:rPr>
          <w:rFonts w:eastAsia="Times New Roman"/>
          <w:bCs/>
          <w:color w:val="000000"/>
          <w:sz w:val="20"/>
          <w:szCs w:val="20"/>
          <w:lang w:eastAsia="x-none"/>
        </w:rPr>
      </w:pPr>
      <w:r w:rsidRPr="005D32EB">
        <w:rPr>
          <w:rFonts w:eastAsia="Times New Roman"/>
          <w:bCs/>
          <w:color w:val="000000"/>
          <w:sz w:val="20"/>
          <w:szCs w:val="20"/>
          <w:lang w:eastAsia="x-none"/>
        </w:rPr>
        <w:t>1. pielikums</w:t>
      </w:r>
    </w:p>
    <w:p w:rsidR="005D32EB" w:rsidRPr="005D32EB" w:rsidRDefault="005D32EB" w:rsidP="005D32EB">
      <w:pPr>
        <w:tabs>
          <w:tab w:val="num" w:pos="0"/>
        </w:tabs>
        <w:spacing w:after="0" w:line="240" w:lineRule="auto"/>
        <w:ind w:left="284" w:hanging="284"/>
        <w:jc w:val="right"/>
        <w:rPr>
          <w:rFonts w:eastAsia="Times New Roman"/>
          <w:bCs/>
          <w:color w:val="000000"/>
          <w:sz w:val="20"/>
          <w:szCs w:val="20"/>
          <w:lang w:eastAsia="x-none"/>
        </w:rPr>
      </w:pPr>
      <w:r w:rsidRPr="005D32EB">
        <w:rPr>
          <w:rFonts w:eastAsia="Times New Roman"/>
          <w:bCs/>
          <w:color w:val="000000"/>
          <w:sz w:val="20"/>
          <w:szCs w:val="20"/>
          <w:lang w:eastAsia="x-none"/>
        </w:rPr>
        <w:t xml:space="preserve">“Talsu novada pašvaldības nekustamā un kustamā </w:t>
      </w:r>
    </w:p>
    <w:p w:rsidR="00EF78FA" w:rsidRDefault="005D32EB" w:rsidP="005D32EB">
      <w:pPr>
        <w:tabs>
          <w:tab w:val="num" w:pos="0"/>
        </w:tabs>
        <w:spacing w:after="0" w:line="240" w:lineRule="auto"/>
        <w:ind w:left="284" w:hanging="284"/>
        <w:jc w:val="right"/>
        <w:rPr>
          <w:rFonts w:eastAsia="Times New Roman"/>
          <w:bCs/>
          <w:color w:val="000000"/>
          <w:sz w:val="20"/>
          <w:szCs w:val="20"/>
          <w:lang w:eastAsia="x-none"/>
        </w:rPr>
      </w:pPr>
      <w:r w:rsidRPr="005D32EB">
        <w:rPr>
          <w:rFonts w:eastAsia="Times New Roman"/>
          <w:bCs/>
          <w:color w:val="000000"/>
          <w:sz w:val="20"/>
          <w:szCs w:val="20"/>
          <w:lang w:eastAsia="x-none"/>
        </w:rPr>
        <w:t>īpašuma apdrošināšana” Identifikācijas Nr. TNPz 202</w:t>
      </w:r>
      <w:r w:rsidR="00542C23">
        <w:rPr>
          <w:rFonts w:eastAsia="Times New Roman"/>
          <w:bCs/>
          <w:color w:val="000000"/>
          <w:sz w:val="20"/>
          <w:szCs w:val="20"/>
          <w:lang w:eastAsia="x-none"/>
        </w:rPr>
        <w:t>1</w:t>
      </w:r>
      <w:r w:rsidRPr="005D32EB">
        <w:rPr>
          <w:rFonts w:eastAsia="Times New Roman"/>
          <w:bCs/>
          <w:color w:val="000000"/>
          <w:sz w:val="20"/>
          <w:szCs w:val="20"/>
          <w:lang w:eastAsia="x-none"/>
        </w:rPr>
        <w:t>/</w:t>
      </w:r>
      <w:r w:rsidR="00272942">
        <w:rPr>
          <w:rFonts w:eastAsia="Times New Roman"/>
          <w:bCs/>
          <w:color w:val="000000"/>
          <w:sz w:val="20"/>
          <w:szCs w:val="20"/>
          <w:lang w:eastAsia="x-none"/>
        </w:rPr>
        <w:t>4</w:t>
      </w:r>
    </w:p>
    <w:p w:rsidR="005D32EB" w:rsidRPr="005D32EB" w:rsidRDefault="005D32EB" w:rsidP="005D32EB">
      <w:pPr>
        <w:tabs>
          <w:tab w:val="num" w:pos="0"/>
        </w:tabs>
        <w:spacing w:after="0" w:line="240" w:lineRule="auto"/>
        <w:ind w:left="284" w:hanging="284"/>
        <w:jc w:val="right"/>
        <w:rPr>
          <w:rFonts w:eastAsia="Times New Roman"/>
          <w:sz w:val="22"/>
          <w:szCs w:val="22"/>
          <w:lang w:eastAsia="en-US"/>
        </w:rPr>
      </w:pPr>
    </w:p>
    <w:p w:rsidR="00EF78FA" w:rsidRPr="00EF78FA" w:rsidRDefault="00EF78FA" w:rsidP="00EF78FA">
      <w:pPr>
        <w:tabs>
          <w:tab w:val="num" w:pos="0"/>
        </w:tabs>
        <w:spacing w:after="0" w:line="240" w:lineRule="auto"/>
        <w:jc w:val="both"/>
        <w:rPr>
          <w:rFonts w:eastAsia="Times New Roman"/>
          <w:sz w:val="10"/>
          <w:szCs w:val="10"/>
          <w:lang w:eastAsia="en-US"/>
        </w:rPr>
      </w:pPr>
    </w:p>
    <w:p w:rsidR="00EF78FA" w:rsidRPr="00EF78FA" w:rsidRDefault="00EF78FA" w:rsidP="00EF78FA">
      <w:pPr>
        <w:tabs>
          <w:tab w:val="num" w:pos="0"/>
        </w:tabs>
        <w:spacing w:after="0" w:line="240" w:lineRule="auto"/>
        <w:ind w:left="284" w:hanging="284"/>
        <w:jc w:val="center"/>
        <w:rPr>
          <w:rFonts w:eastAsia="Times New Roman"/>
          <w:b/>
          <w:lang w:eastAsia="en-US"/>
        </w:rPr>
      </w:pPr>
      <w:r w:rsidRPr="00EF78FA">
        <w:rPr>
          <w:rFonts w:eastAsia="Times New Roman"/>
          <w:b/>
          <w:lang w:eastAsia="en-US"/>
        </w:rPr>
        <w:t>APDROŠINĀŠANAS IZŅĒMUMI</w:t>
      </w:r>
    </w:p>
    <w:p w:rsidR="00EF78FA" w:rsidRPr="00EF78FA" w:rsidRDefault="00EF78FA" w:rsidP="00EF78FA">
      <w:pPr>
        <w:tabs>
          <w:tab w:val="num" w:pos="0"/>
        </w:tabs>
        <w:spacing w:after="0" w:line="240" w:lineRule="auto"/>
        <w:ind w:left="284" w:hanging="284"/>
        <w:jc w:val="both"/>
        <w:rPr>
          <w:rFonts w:eastAsia="Times New Roman"/>
          <w:sz w:val="22"/>
          <w:szCs w:val="22"/>
          <w:lang w:eastAsia="en-US"/>
        </w:rPr>
      </w:pPr>
      <w:bookmarkStart w:id="0" w:name="_GoBack"/>
      <w:bookmarkEnd w:id="0"/>
    </w:p>
    <w:p w:rsidR="00EF78FA" w:rsidRPr="00EF78FA" w:rsidRDefault="00EF78FA" w:rsidP="00EF78FA">
      <w:pPr>
        <w:tabs>
          <w:tab w:val="num" w:pos="0"/>
        </w:tabs>
        <w:spacing w:after="0" w:line="240" w:lineRule="auto"/>
        <w:jc w:val="both"/>
        <w:rPr>
          <w:rFonts w:eastAsia="Times New Roman"/>
          <w:b/>
          <w:sz w:val="22"/>
          <w:szCs w:val="22"/>
          <w:lang w:eastAsia="en-US"/>
        </w:rPr>
      </w:pPr>
      <w:r w:rsidRPr="00EF78FA">
        <w:rPr>
          <w:rFonts w:eastAsia="Times New Roman"/>
          <w:b/>
          <w:sz w:val="22"/>
          <w:szCs w:val="22"/>
          <w:lang w:eastAsia="en-US"/>
        </w:rPr>
        <w:t xml:space="preserve">Pretendents </w:t>
      </w:r>
      <w:r w:rsidRPr="00EF78FA">
        <w:rPr>
          <w:rFonts w:eastAsia="Times New Roman"/>
          <w:b/>
          <w:sz w:val="22"/>
          <w:szCs w:val="22"/>
          <w:u w:val="single"/>
          <w:lang w:eastAsia="en-US"/>
        </w:rPr>
        <w:t>atzīmē ar krustiņu katru nosacījumam</w:t>
      </w:r>
      <w:r w:rsidRPr="00EF78FA">
        <w:rPr>
          <w:rFonts w:eastAsia="Times New Roman"/>
          <w:b/>
          <w:sz w:val="22"/>
          <w:szCs w:val="22"/>
          <w:lang w:eastAsia="en-US"/>
        </w:rPr>
        <w:t>, atkarībā no tā, vai šis nosacījums tiek iekļauts polisē, kā zaudējums, par kuru atlīdzība tiek izmaksāta, vai iekļauts polises izņēmumos, kā zaudējums, par kuru atlīdzība netiek izmaksāta.</w:t>
      </w:r>
    </w:p>
    <w:p w:rsidR="00EF78FA" w:rsidRPr="00EF78FA" w:rsidRDefault="00EF78FA" w:rsidP="00EF78FA">
      <w:pPr>
        <w:tabs>
          <w:tab w:val="num" w:pos="0"/>
        </w:tabs>
        <w:spacing w:after="0" w:line="240" w:lineRule="auto"/>
        <w:jc w:val="both"/>
        <w:rPr>
          <w:rFonts w:eastAsia="Times New Roman"/>
          <w:b/>
          <w:sz w:val="22"/>
          <w:szCs w:val="22"/>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567"/>
        <w:gridCol w:w="4253"/>
        <w:gridCol w:w="563"/>
      </w:tblGrid>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roofErr w:type="spellStart"/>
            <w:r w:rsidRPr="00EF78FA">
              <w:rPr>
                <w:rFonts w:eastAsia="Times New Roman"/>
                <w:color w:val="000000"/>
                <w:sz w:val="22"/>
                <w:szCs w:val="22"/>
                <w:lang w:eastAsia="en-US"/>
              </w:rPr>
              <w:t>Nr.p.k</w:t>
            </w:r>
            <w:proofErr w:type="spellEnd"/>
            <w:r w:rsidRPr="00EF78FA">
              <w:rPr>
                <w:rFonts w:eastAsia="Times New Roman"/>
                <w:color w:val="000000"/>
                <w:sz w:val="22"/>
                <w:szCs w:val="22"/>
                <w:lang w:eastAsia="en-US"/>
              </w:rPr>
              <w:t>.</w:t>
            </w:r>
          </w:p>
        </w:tc>
        <w:tc>
          <w:tcPr>
            <w:tcW w:w="4819" w:type="dxa"/>
            <w:gridSpan w:val="2"/>
            <w:vAlign w:val="center"/>
          </w:tcPr>
          <w:p w:rsidR="00EF78FA" w:rsidRPr="00EF78FA" w:rsidRDefault="00EF78FA" w:rsidP="00EF78FA">
            <w:pPr>
              <w:tabs>
                <w:tab w:val="num" w:pos="0"/>
              </w:tabs>
              <w:spacing w:after="0" w:line="240" w:lineRule="auto"/>
              <w:jc w:val="center"/>
              <w:rPr>
                <w:rFonts w:eastAsia="Times New Roman"/>
                <w:b/>
                <w:color w:val="000000"/>
                <w:sz w:val="22"/>
                <w:szCs w:val="22"/>
                <w:lang w:eastAsia="en-US"/>
              </w:rPr>
            </w:pPr>
            <w:r w:rsidRPr="00EF78FA">
              <w:rPr>
                <w:rFonts w:eastAsia="Times New Roman"/>
                <w:b/>
                <w:color w:val="000000"/>
                <w:sz w:val="22"/>
                <w:szCs w:val="22"/>
                <w:lang w:eastAsia="en-US"/>
              </w:rPr>
              <w:t>Apdrošinātājs neatlīdzina zaudējumus, kas radušies:</w:t>
            </w:r>
          </w:p>
        </w:tc>
        <w:tc>
          <w:tcPr>
            <w:tcW w:w="4816" w:type="dxa"/>
            <w:gridSpan w:val="2"/>
            <w:vAlign w:val="center"/>
          </w:tcPr>
          <w:p w:rsidR="00EF78FA" w:rsidRPr="00EF78FA" w:rsidRDefault="00EF78FA" w:rsidP="00EF78FA">
            <w:pPr>
              <w:tabs>
                <w:tab w:val="num" w:pos="0"/>
              </w:tabs>
              <w:spacing w:after="0" w:line="240" w:lineRule="auto"/>
              <w:jc w:val="center"/>
              <w:rPr>
                <w:rFonts w:eastAsia="Times New Roman"/>
                <w:b/>
                <w:color w:val="000000"/>
                <w:sz w:val="22"/>
                <w:szCs w:val="22"/>
                <w:lang w:eastAsia="en-US"/>
              </w:rPr>
            </w:pPr>
            <w:r w:rsidRPr="00EF78FA">
              <w:rPr>
                <w:rFonts w:eastAsia="Times New Roman"/>
                <w:b/>
                <w:color w:val="000000"/>
                <w:sz w:val="22"/>
                <w:szCs w:val="22"/>
                <w:lang w:eastAsia="en-US"/>
              </w:rPr>
              <w:t>Apdrošinātājs atlīdzina zaudējumus, kas radušies:</w:t>
            </w: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w:t>
            </w:r>
          </w:p>
        </w:tc>
        <w:tc>
          <w:tcPr>
            <w:tcW w:w="4252" w:type="dxa"/>
            <w:vAlign w:val="center"/>
          </w:tcPr>
          <w:p w:rsidR="00EF78FA" w:rsidRPr="00EF78FA" w:rsidRDefault="00EF78FA" w:rsidP="00EF78FA">
            <w:pPr>
              <w:tabs>
                <w:tab w:val="num" w:pos="0"/>
              </w:tabs>
              <w:spacing w:after="0" w:line="240" w:lineRule="auto"/>
              <w:jc w:val="both"/>
              <w:rPr>
                <w:rFonts w:eastAsia="Times New Roman"/>
                <w:sz w:val="22"/>
                <w:szCs w:val="22"/>
                <w:lang w:eastAsia="en-US"/>
              </w:rPr>
            </w:pPr>
            <w:r w:rsidRPr="00EF78FA">
              <w:rPr>
                <w:rFonts w:eastAsia="Times New Roman"/>
                <w:sz w:val="22"/>
                <w:szCs w:val="22"/>
                <w:lang w:eastAsia="en-US"/>
              </w:rPr>
              <w:t>Masu nemieru un terorisma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jc w:val="both"/>
              <w:rPr>
                <w:rFonts w:eastAsia="Times New Roman"/>
                <w:sz w:val="22"/>
                <w:szCs w:val="22"/>
                <w:lang w:eastAsia="en-US"/>
              </w:rPr>
            </w:pPr>
            <w:r w:rsidRPr="00EF78FA">
              <w:rPr>
                <w:rFonts w:eastAsia="Times New Roman"/>
                <w:sz w:val="22"/>
                <w:szCs w:val="22"/>
                <w:lang w:eastAsia="en-US"/>
              </w:rPr>
              <w:t xml:space="preserve">Masu nemieri un terorisms. </w:t>
            </w:r>
          </w:p>
          <w:p w:rsidR="00EF78FA" w:rsidRPr="00EF78FA" w:rsidRDefault="00EF78FA" w:rsidP="00EF78FA">
            <w:pPr>
              <w:tabs>
                <w:tab w:val="num" w:pos="0"/>
              </w:tabs>
              <w:spacing w:after="0" w:line="240" w:lineRule="auto"/>
              <w:jc w:val="both"/>
              <w:rPr>
                <w:rFonts w:eastAsia="Times New Roman"/>
                <w:sz w:val="22"/>
                <w:szCs w:val="22"/>
                <w:lang w:eastAsia="en-US"/>
              </w:rPr>
            </w:pPr>
            <w:r w:rsidRPr="00EF78FA">
              <w:rPr>
                <w:rFonts w:eastAsia="Times New Roman"/>
                <w:sz w:val="22"/>
                <w:szCs w:val="22"/>
                <w:lang w:eastAsia="en-US"/>
              </w:rPr>
              <w:t>Limits 50 000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Applūšanas </w:t>
            </w:r>
            <w:r w:rsidRPr="00EF78FA">
              <w:rPr>
                <w:rFonts w:eastAsia="Times New Roman"/>
                <w:sz w:val="22"/>
                <w:szCs w:val="22"/>
                <w:lang w:eastAsia="en-US"/>
              </w:rPr>
              <w:t>rezultātā</w:t>
            </w:r>
            <w:r w:rsidRPr="00EF78FA">
              <w:rPr>
                <w:rFonts w:eastAsia="Times New Roman"/>
                <w:color w:val="000000"/>
                <w:sz w:val="22"/>
                <w:szCs w:val="22"/>
                <w:lang w:eastAsia="en-US"/>
              </w:rPr>
              <w:t xml:space="preserve"> no komunikācijām, kas neatrodas apdrošināmā īpašumā, tai skaitā no maģistrālajiem cauruļvadiem un cauruļvadiem, par kuru ekspluatāciju un remontu nav atbildīgs objekta īpašnieks.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Applūšanas </w:t>
            </w:r>
            <w:r w:rsidRPr="00EF78FA">
              <w:rPr>
                <w:rFonts w:eastAsia="Times New Roman"/>
                <w:sz w:val="22"/>
                <w:szCs w:val="22"/>
                <w:lang w:eastAsia="en-US"/>
              </w:rPr>
              <w:t>rezultātā</w:t>
            </w:r>
            <w:r w:rsidRPr="00EF78FA">
              <w:rPr>
                <w:rFonts w:eastAsia="Times New Roman"/>
                <w:color w:val="000000"/>
                <w:sz w:val="22"/>
                <w:szCs w:val="22"/>
                <w:lang w:eastAsia="en-US"/>
              </w:rPr>
              <w:t xml:space="preserve"> no komunikācijām, kas neatrodas apdrošināmā īpašumā, tai skaitā no maģistrālajiem cauruļvadiem un cauruļvadiem, par kuru ekspluatāciju un remontu nav atbildīgs objekta īpašnieks. </w:t>
            </w:r>
            <w:r w:rsidRPr="00EF78FA">
              <w:rPr>
                <w:rFonts w:eastAsia="Times New Roman"/>
                <w:sz w:val="22"/>
                <w:szCs w:val="22"/>
                <w:lang w:eastAsia="en-US"/>
              </w:rPr>
              <w:t>Limits 50 000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3.</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Elektrisku dabas parādību iedarbības </w:t>
            </w:r>
            <w:r w:rsidRPr="00EF78FA">
              <w:rPr>
                <w:rFonts w:eastAsia="Times New Roman"/>
                <w:sz w:val="22"/>
                <w:szCs w:val="22"/>
                <w:lang w:eastAsia="en-US"/>
              </w:rPr>
              <w:t>rezultātā</w:t>
            </w:r>
            <w:r w:rsidRPr="00EF78FA">
              <w:rPr>
                <w:rFonts w:eastAsia="Times New Roman"/>
                <w:color w:val="000000"/>
                <w:sz w:val="22"/>
                <w:szCs w:val="22"/>
                <w:lang w:eastAsia="en-US"/>
              </w:rPr>
              <w:t>. Ar elektriskām dabas parādībām tiek saprasts elektrisko vai elektronisko iekārtu un to izolācijas materiālu īssavienojums vai citas elektriskas parādības (</w:t>
            </w:r>
            <w:proofErr w:type="spellStart"/>
            <w:r w:rsidRPr="00EF78FA">
              <w:rPr>
                <w:rFonts w:eastAsia="Times New Roman"/>
                <w:color w:val="000000"/>
                <w:sz w:val="22"/>
                <w:szCs w:val="22"/>
                <w:lang w:eastAsia="en-US"/>
              </w:rPr>
              <w:t>pārspriegums</w:t>
            </w:r>
            <w:proofErr w:type="spellEnd"/>
            <w:r w:rsidRPr="00EF78FA">
              <w:rPr>
                <w:rFonts w:eastAsia="Times New Roman"/>
                <w:color w:val="000000"/>
                <w:sz w:val="22"/>
                <w:szCs w:val="22"/>
                <w:lang w:eastAsia="en-US"/>
              </w:rPr>
              <w:t>, izolācijas nepilnības, īssavienojums tinumos vai caur korpusu, īsslēgums ar zemi, mērierīču vai drošības ierīču nefunkcionēšana, netiešs zibens spēriens, un tml.), kas nav izraisījis uguns riska iestāšanos.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Elektrisku dabas parādību iedarbības </w:t>
            </w:r>
            <w:r w:rsidRPr="00EF78FA">
              <w:rPr>
                <w:rFonts w:eastAsia="Times New Roman"/>
                <w:sz w:val="22"/>
                <w:szCs w:val="22"/>
                <w:lang w:eastAsia="en-US"/>
              </w:rPr>
              <w:t>rezultātā</w:t>
            </w:r>
            <w:r w:rsidRPr="00EF78FA">
              <w:rPr>
                <w:rFonts w:eastAsia="Times New Roman"/>
                <w:color w:val="000000"/>
                <w:sz w:val="22"/>
                <w:szCs w:val="22"/>
                <w:lang w:eastAsia="en-US"/>
              </w:rPr>
              <w:t>. Ar elektriskām dabas parādībām tiek saprasts elektrisko vai elektronisko iekārtu un to izolācijas materiālu īssavienojums vai citas elektriskas parādības (</w:t>
            </w:r>
            <w:proofErr w:type="spellStart"/>
            <w:r w:rsidRPr="00EF78FA">
              <w:rPr>
                <w:rFonts w:eastAsia="Times New Roman"/>
                <w:color w:val="000000"/>
                <w:sz w:val="22"/>
                <w:szCs w:val="22"/>
                <w:lang w:eastAsia="en-US"/>
              </w:rPr>
              <w:t>pārspriegums</w:t>
            </w:r>
            <w:proofErr w:type="spellEnd"/>
            <w:r w:rsidRPr="00EF78FA">
              <w:rPr>
                <w:rFonts w:eastAsia="Times New Roman"/>
                <w:color w:val="000000"/>
                <w:sz w:val="22"/>
                <w:szCs w:val="22"/>
                <w:lang w:eastAsia="en-US"/>
              </w:rPr>
              <w:t xml:space="preserve">, izolācijas nepilnības, īssavienojums tinumos vai caur korpusu, īsslēgums ar zemi, mērierīču vai drošības ierīču nefunkcionēšana, netiešs zibens spēriens, un tml.), kas nav izraisījis uguns riska iestāšanos. </w:t>
            </w:r>
            <w:r w:rsidRPr="00EF78FA">
              <w:rPr>
                <w:rFonts w:eastAsia="Times New Roman"/>
                <w:sz w:val="22"/>
                <w:szCs w:val="22"/>
                <w:lang w:eastAsia="en-US"/>
              </w:rPr>
              <w:t>Limits 50 000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4.</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Dēļ tādas apdrošināšanas objekta pārbūves vai remonta darbiem, kuru veikšana saskaņā ar spēkā esošajiem normatīvajiem aktiem ir nepieciešama būvatļauja.</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Dēļ tādas apdrošināšanas objekta pārbūves vai remonta darbiem, kuru veikšana saskaņā ar spēkā esošajiem normatīvajiem aktiem ir nepieciešama būvatļauja.</w:t>
            </w:r>
            <w:r w:rsidRPr="00EF78FA">
              <w:rPr>
                <w:rFonts w:eastAsia="Times New Roman"/>
                <w:sz w:val="22"/>
                <w:szCs w:val="22"/>
                <w:lang w:eastAsia="en-US"/>
              </w:rPr>
              <w:t xml:space="preserve"> Limits 50 000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47"/>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5.</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Mehāniskas salūšanas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Mehāniskas salūšanas rezultātā. </w:t>
            </w:r>
            <w:r w:rsidRPr="00EF78FA">
              <w:rPr>
                <w:rFonts w:eastAsia="Times New Roman"/>
                <w:sz w:val="22"/>
                <w:szCs w:val="22"/>
                <w:lang w:eastAsia="en-US"/>
              </w:rPr>
              <w:t>Limits 50 000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47"/>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6.</w:t>
            </w:r>
          </w:p>
        </w:tc>
        <w:tc>
          <w:tcPr>
            <w:tcW w:w="4252" w:type="dxa"/>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Zādzības bez ielaušanās, piesavināšanās, vai zaudējums citas noziedzīgas darbības rezultātā, izņemot zādzību ar ielaušanos, laupīšanu un vandālismu. </w:t>
            </w:r>
          </w:p>
        </w:tc>
        <w:tc>
          <w:tcPr>
            <w:tcW w:w="567" w:type="dxa"/>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Zādzības bez ielaušanās, piesavināšanās, vai zaudējums citas noziedzīgas darbības rezultātā, izņemot zādzību ar ielaušanos, laupīšanu un vandālismu.</w:t>
            </w:r>
            <w:r w:rsidRPr="00EF78FA">
              <w:rPr>
                <w:rFonts w:eastAsia="Times New Roman"/>
                <w:sz w:val="22"/>
                <w:szCs w:val="22"/>
                <w:lang w:eastAsia="en-US"/>
              </w:rPr>
              <w:t xml:space="preserve"> 5 000 EUR.</w:t>
            </w:r>
          </w:p>
        </w:tc>
        <w:tc>
          <w:tcPr>
            <w:tcW w:w="563" w:type="dxa"/>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bl>
    <w:p w:rsidR="00EF78FA" w:rsidRPr="00EF78FA" w:rsidRDefault="00EF78FA" w:rsidP="00EF78FA">
      <w:pPr>
        <w:tabs>
          <w:tab w:val="num" w:pos="0"/>
        </w:tabs>
        <w:spacing w:after="0" w:line="240" w:lineRule="auto"/>
        <w:jc w:val="both"/>
        <w:rPr>
          <w:rFonts w:eastAsia="Times New Roman"/>
          <w:color w:val="000000"/>
          <w:sz w:val="10"/>
          <w:szCs w:val="10"/>
          <w:lang w:eastAsia="en-US"/>
        </w:rPr>
      </w:pPr>
    </w:p>
    <w:p w:rsidR="00EF78FA" w:rsidRPr="00EF78FA" w:rsidRDefault="00EF78FA" w:rsidP="00EF78FA">
      <w:pPr>
        <w:tabs>
          <w:tab w:val="num" w:pos="0"/>
        </w:tabs>
        <w:spacing w:after="0" w:line="240" w:lineRule="auto"/>
        <w:jc w:val="both"/>
        <w:rPr>
          <w:rFonts w:eastAsia="Times New Roman"/>
          <w:color w:val="000000"/>
          <w:sz w:val="10"/>
          <w:szCs w:val="10"/>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567"/>
        <w:gridCol w:w="4253"/>
        <w:gridCol w:w="563"/>
      </w:tblGrid>
      <w:tr w:rsidR="00EF78FA" w:rsidRPr="00EF78FA" w:rsidTr="009F34C8">
        <w:trPr>
          <w:trHeight w:val="262"/>
          <w:tblHeader/>
        </w:trPr>
        <w:tc>
          <w:tcPr>
            <w:tcW w:w="568"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proofErr w:type="spellStart"/>
            <w:r w:rsidRPr="00EF78FA">
              <w:rPr>
                <w:rFonts w:eastAsia="Times New Roman"/>
                <w:color w:val="000000"/>
                <w:sz w:val="22"/>
                <w:szCs w:val="22"/>
                <w:lang w:eastAsia="en-US"/>
              </w:rPr>
              <w:t>Nr.p.k</w:t>
            </w:r>
            <w:proofErr w:type="spellEnd"/>
            <w:r w:rsidRPr="00EF78FA">
              <w:rPr>
                <w:rFonts w:eastAsia="Times New Roman"/>
                <w:color w:val="000000"/>
                <w:sz w:val="22"/>
                <w:szCs w:val="22"/>
                <w:lang w:eastAsia="en-US"/>
              </w:rPr>
              <w:t>.</w:t>
            </w:r>
          </w:p>
        </w:tc>
        <w:tc>
          <w:tcPr>
            <w:tcW w:w="4819" w:type="dxa"/>
            <w:gridSpan w:val="2"/>
            <w:vAlign w:val="center"/>
          </w:tcPr>
          <w:p w:rsidR="00EF78FA" w:rsidRPr="00EF78FA" w:rsidRDefault="00EF78FA" w:rsidP="00EF78FA">
            <w:pPr>
              <w:tabs>
                <w:tab w:val="num" w:pos="0"/>
              </w:tabs>
              <w:spacing w:after="0" w:line="240" w:lineRule="auto"/>
              <w:rPr>
                <w:rFonts w:eastAsia="Times New Roman"/>
                <w:b/>
                <w:color w:val="000000"/>
                <w:sz w:val="22"/>
                <w:szCs w:val="22"/>
                <w:lang w:eastAsia="en-US"/>
              </w:rPr>
            </w:pPr>
            <w:r w:rsidRPr="00EF78FA">
              <w:rPr>
                <w:rFonts w:eastAsia="Times New Roman"/>
                <w:b/>
                <w:color w:val="000000"/>
                <w:sz w:val="22"/>
                <w:szCs w:val="22"/>
                <w:lang w:eastAsia="en-US"/>
              </w:rPr>
              <w:t>Apdrošinātājs neatlīdzina zaudējumus, kas radušies:</w:t>
            </w:r>
          </w:p>
        </w:tc>
        <w:tc>
          <w:tcPr>
            <w:tcW w:w="4816" w:type="dxa"/>
            <w:gridSpan w:val="2"/>
            <w:vAlign w:val="center"/>
          </w:tcPr>
          <w:p w:rsidR="00EF78FA" w:rsidRPr="00EF78FA" w:rsidRDefault="00EF78FA" w:rsidP="00EF78FA">
            <w:pPr>
              <w:tabs>
                <w:tab w:val="num" w:pos="0"/>
              </w:tabs>
              <w:spacing w:after="0" w:line="240" w:lineRule="auto"/>
              <w:rPr>
                <w:rFonts w:eastAsia="Times New Roman"/>
                <w:b/>
                <w:color w:val="000000"/>
                <w:sz w:val="22"/>
                <w:szCs w:val="22"/>
                <w:lang w:eastAsia="en-US"/>
              </w:rPr>
            </w:pPr>
            <w:r w:rsidRPr="00EF78FA">
              <w:rPr>
                <w:rFonts w:eastAsia="Times New Roman"/>
                <w:b/>
                <w:color w:val="000000"/>
                <w:sz w:val="22"/>
                <w:szCs w:val="22"/>
                <w:lang w:eastAsia="en-US"/>
              </w:rPr>
              <w:t>Apdrošinātājs atlīdzina zaudējumus, kas radušies:</w:t>
            </w: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7.</w:t>
            </w:r>
          </w:p>
        </w:tc>
        <w:tc>
          <w:tcPr>
            <w:tcW w:w="4252" w:type="dxa"/>
            <w:vAlign w:val="center"/>
          </w:tcPr>
          <w:p w:rsidR="00EF78FA" w:rsidRPr="00EF78FA" w:rsidRDefault="00EF78FA" w:rsidP="00EF78FA">
            <w:pPr>
              <w:tabs>
                <w:tab w:val="num" w:pos="0"/>
              </w:tabs>
              <w:spacing w:after="0" w:line="240" w:lineRule="auto"/>
              <w:jc w:val="both"/>
              <w:rPr>
                <w:rFonts w:eastAsia="Times New Roman"/>
                <w:sz w:val="22"/>
                <w:szCs w:val="22"/>
                <w:lang w:eastAsia="en-US"/>
              </w:rPr>
            </w:pPr>
            <w:r w:rsidRPr="00EF78FA">
              <w:rPr>
                <w:rFonts w:eastAsia="Times New Roman"/>
                <w:sz w:val="22"/>
                <w:szCs w:val="22"/>
                <w:lang w:eastAsia="en-US"/>
              </w:rPr>
              <w:t>Kodolsprādziena, atomenerģijas, radiācijas, radioaktīvā piesārņojuma, jonizējošā starojuma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jc w:val="both"/>
              <w:rPr>
                <w:rFonts w:eastAsia="Times New Roman"/>
                <w:sz w:val="22"/>
                <w:szCs w:val="22"/>
                <w:lang w:eastAsia="en-US"/>
              </w:rPr>
            </w:pPr>
            <w:r w:rsidRPr="00EF78FA">
              <w:rPr>
                <w:rFonts w:eastAsia="Times New Roman"/>
                <w:sz w:val="22"/>
                <w:szCs w:val="22"/>
                <w:lang w:eastAsia="en-US"/>
              </w:rPr>
              <w:t>Kodolsprādziena, atomenerģijas, radiācijas, radioaktīvā piesārņojuma, jonizējošā starojuma rezultātā.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8.</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Karš, invāzija, ārvalstu ienaidnieku darbība (ar vai bez kara pieteikšanas).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Karš, invāzija, ārvalstu ienaidnieku darbība (ar vai bez kara pieteikšanas). </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9.</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Vides piesārņošanas, piegružošanas un saindēšanas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Vides piesārņošanas, piegružošanas un saindēšanas rezultātā. Limits 10 000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lastRenderedPageBreak/>
              <w:t>10.</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Insektu, tārpu, grauzēju, putnu vai dzīvnieku nodarītu bojājumu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 xml:space="preserve">Insektu, tārpu, grauzēju, putnu vai dzīvnieku nodarītu bojājumu rezultātā. </w:t>
            </w:r>
          </w:p>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47"/>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11.</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rPr>
              <w:t>Nodiluma, nolietojuma, korozijas, izmaiņu gaisa temperatūrā vai mitrumā, izžūšanas vai izkalšanas,  iztvaikošanas  vai  izgarošanas,  sarukšanas  vai  izstiepšanās, zemes  virsmas  nosēšanās  vai  kustības,  ēku,  būvju  plaisāšanas,  ēku,  būvju  pamatu  nosēšanās  vai  iegrimšanas vai citu ilgstošu procesu rezultātā, kā arī azbesta, azbesta produktu, putekļu nodarītu bojājumu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rPr>
            </w:pPr>
            <w:r w:rsidRPr="00EF78FA">
              <w:rPr>
                <w:rFonts w:eastAsia="Times New Roman"/>
                <w:sz w:val="22"/>
                <w:szCs w:val="22"/>
              </w:rPr>
              <w:t xml:space="preserve">Nodiluma, nolietojuma, korozijas, izmaiņu gaisa temperatūrā vai mitrumā, izžūšanas vai izkalšanas,  iztvaikošanas  vai  izgarošanas,  sarukšanas  vai  izstiepšanās, zemes  virsmas  nosēšanās  vai  kustības,  ēku,  būvju  plaisāšanas,  ēku,  būvju  pamatu  nosēšanās  vai  iegrimšanas vai citu ilgstošu procesu rezultātā, kā arī azbesta, azbesta produktu, putekļu nodarītu bojājumu rezultātā. </w:t>
            </w:r>
          </w:p>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12.</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 xml:space="preserve">Sausās vai mitrās puves, pūšanas, pelējuma un apaugšanas ar piepi, smakas izdalīšanās, sēnīšu vai baktēriju iedarbības rezultātā. </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Sausās vai mitrās puves, pūšanas, pelējuma un apaugšanas ar piepi, smakas izdalīšanās, sēnīšu vai baktēriju iedarbības rezultātā.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13.</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Neatbilstošas un kļūdainas projektēšanas, rasējumu vai aprēķinu rezultātā, nekvalitatīvu un neatbilstošu materiālu izmantošanas, nekvalitatīvas vai kļūdainas darba izpildes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Neatbilstošas un kļūdainas projektēšanas, rasējumu vai aprēķinu rezultātā, nekvalitatīvu un neatbilstošu materiālu izmantošanas, nekvalitatīvas vai kļūdainas darba izpildes rezultātā.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14.</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Normatīvo aktu, valsts vai pašvaldību lēmumu pieņemšanas rezultātā, tai skaitā, bet ne tikai konfiskācijas, atsavināšanas valsts vajadzībām, kā arī īpašuma iznīcināšanas vai bojāšanas rezultātā, ja to ir sankcionēšanas valsts varas iestādes.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Normatīvo aktu, valsts vai pašvaldību lēmumu pieņemšanas rezultātā, tai skaitā, bet ne tikai konfiskācijas, atsavināšanas valsts vajadzībām, kā arī īpašuma iznīcināšanas vai bojāšanas rezultātā, ja to ir sankcionēšanas valsts varas iestādes.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15.</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Montāžas, demontāžas, izmēģināšanas vai testēšanas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Montāžas, demontāžas, izmēģināšanas vai testēšanas rezultātā.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16.</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Kas jāatlīdzina saskaņā ar ražotāja,  piegādātāja vai citu garantiju.</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 xml:space="preserve">Kas jāatlīdzina saskaņā ar ražotāja, piegādātāja vai citu garantiju. </w:t>
            </w:r>
          </w:p>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17.</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Kas jāatlīdzina saskaņā ar normatīvajos aktos noteikto obligāto apdrošināšanu vai kas jāatlīdzina uz cita apdrošināšanas līguma pamata</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Kas jāatlīdzina saskaņā ar normatīvajos aktos noteikto obligāto apdrošināšanu vai kas jāatlīdzina uz cita apdrošināšanas līguma pamata.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18.</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Jebkura veida netiešu vai finansiāla rakstura zaudējumu rezultātā, tai skaitā, bet ne tikai, kas radušies no negūtās peļņas,  preču  pārdošanas,  saimnieciskās  darbības pārtraukuma, nesavlaicīgas piegādes un līgumsaistību neizpildes.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Jebkura veida netiešu vai finansiāla rakstura zaudējumu rezultātā, tai skaitā, bet ne tikai, kas radušies no negūtās peļņas,  preču  pārdošanas,  saimnieciskās  darbības pārtraukuma, nesavlaicīgas piegādes un līgumsaistību neizpildes.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19.</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Soda  sankciju  rezultātā,  tai  skaitā,  bet  ne  tikai līgumsodus, kavējuma procentus, soda naudas, valsts vai pašvaldību iestādes uzliktus sodus.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Soda  sankciju  rezultātā,  tai  skaitā,  bet  ne  tikai līgumsodus, kavējuma procentus, soda naudas, valsts vai pašvaldību iestādes uzliktus sodus.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20.</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Par apdrošināšanas objekta apsaimniekošanu un apkalpošanu, kā arī tehniskās apkopes veikšanas un servisa izdevumus.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 xml:space="preserve">Par apdrošināšanas objekta apsaimniekošanu un apkalpošanu, kā arī tehniskās apkopes veikšanas un servisa izdevumus. </w:t>
            </w:r>
          </w:p>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Limits 500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lastRenderedPageBreak/>
              <w:t>21.</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Par ekspertīzes izdevumiem, kurus rakstveidā nav apstiprinājusi apdrošināšanas sabiedrība.</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 xml:space="preserve">Par ekspertīzes izdevumiem, kurus rakstveidā nav apstiprinājusi apdrošināšanas sabiedrība. </w:t>
            </w:r>
          </w:p>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Limits 500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22.</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Par jebkuriem  apdrošināšanas  objekta  uzlabojumiem, izmaiņām, papildinājumiem, kā arī remonta izdevumiem, kas nav saistīti ar apdrošināšanas gadījumu.</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Par jebkuriem apdrošināšanas objekta uzlabojumiem, izmaiņām, papildinājumiem, kā arī remonta izdevumiem, kas nav saistīti ar apdrošināšanas gadījumu.</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23.</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Tikai pašam apdrošināšanas objektam  (t.sk. ķieģeļu izklājumiem kurtuvēs, kurtuvju restēm, kurtuvju pamatu blokiem, degļu uzgaļiem), to pakļaujot paredzētai apstrādei vai tehnoloģiskiem procesiem, kuros izmanto uguni, apzinātu eksplozijas enerģiju vai citu termisku iedarbību.</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Tikai pašam apdrošināšanas objektam (t.sk. ķieģeļu izklājumiem kurtuvēs, kurtuvju restēm, kurtuvju pamatu blokiem, degļu uzgaļiem), to pakļaujot paredzētai apstrādei vai tehnoloģiskiem procesiem, kuros izmanto uguni, apzinātu eksplozijas enerģiju vai citu termisku iedarbību. Limits 500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24.</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Nokrišņu iekļūšanas rezultātā caur neaizvērtiem logiem, ārdurvīm u.c. atverēm vai bojājumiem ēku būvkonstrukcijās, izņemot, ja šādas atveres vai bojājumi ēku būvkonstrukcijās ir radušies tādu zaudējumu vai bojājumu rezultātā, kurus apdrošināšanas sabiedrība atlīdzina saskaņā ar apdrošināšanas noteikumiem.</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 xml:space="preserve">Nokrišņu iekļūšanas rezultātā caur neaizvērtiem logiem, ārdurvīm u.c. atverēm vai bojājumiem ēku būvkonstrukcijās, izņemot, ja šādas atveres vai bojājumi ēku būvkonstrukcijās ir radušies tādu zaudējumu vai bojājumu rezultātā, kurus apdrošināšanas sabiedrība atlīdzina saskaņā ar apdrošināšanas noteikumiem. </w:t>
            </w:r>
          </w:p>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Limits 500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25.</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Ēkām, kuras netiek pastāvīgi apdzīvotas vai apsaimniekotas, vai kurās netiek  veikta  saimnieciskā  darbība. Ar saimniecisko darbību šī apdrošināšanas līguma ietvaros tiek uzskatīta sistemātiska komercdarbība, kura tiek veikta ne retāk kā 1 (vienu) reizi kalendārajā nedēļā.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Ēkām, kuras netiek pastāvīgi apdzīvotas vai apsaimniekotas, vai kurās netiek  veikta  saimnieciskā  darbība. Ar saimniecisko darbību šī apdrošināšanas līguma ietvaros tiek uzskatīta sistemātiska komercdarbība, kura tiek veikta ne retāk kā 1 (vienu) reizi kalendārajā nedēļā. Limits 500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26.</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Apdrošinājuma ņēmēja vai apdrošinātā  bezdarbības  rezultātā,  netīrot  sniegu  no  ēkas  jumta  pārsegumiem  un  neveicot  savus  pienākumus  attiecībā  uz īpašuma uzturēšanu saskaņā ar spēkā esošajiem normatīvajiem aktiem, būvnormatīviem, tehniskās ekspluatācijas noteikumiem un administratīvajiem lēmumiem</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Apdrošinājuma ņēmēja vai apdrošinātā  bezdarbības  rezultātā,  netīrot  sniegu  no  ēkas  jumta  pārsegumiem  un  neveicot  savus  pienākumus  attiecībā  uz īpašuma uzturēšanu saskaņā ar spēkā esošajiem normatīvajiem aktiem, būvnormatīviem, tehniskās ekspluatācijas noteikumiem un administratīvajiem lēmumiem. Limits 500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bl>
    <w:p w:rsidR="00EF78FA" w:rsidRPr="00EF78FA" w:rsidRDefault="00EF78FA" w:rsidP="00EF78FA">
      <w:pPr>
        <w:autoSpaceDE w:val="0"/>
        <w:autoSpaceDN w:val="0"/>
        <w:adjustRightInd w:val="0"/>
        <w:spacing w:after="0" w:line="240" w:lineRule="auto"/>
        <w:rPr>
          <w:rFonts w:eastAsia="Times New Roman"/>
          <w:color w:val="000000"/>
          <w:sz w:val="22"/>
          <w:szCs w:val="22"/>
          <w:lang w:eastAsia="en-US"/>
        </w:rPr>
      </w:pPr>
    </w:p>
    <w:p w:rsidR="00E873CA" w:rsidRDefault="00E873CA"/>
    <w:sectPr w:rsidR="00E873CA" w:rsidSect="00EF78FA">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FA"/>
    <w:rsid w:val="00272942"/>
    <w:rsid w:val="00542C23"/>
    <w:rsid w:val="005D32EB"/>
    <w:rsid w:val="00E873CA"/>
    <w:rsid w:val="00E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759D"/>
  <w15:chartTrackingRefBased/>
  <w15:docId w15:val="{2DE36CBB-156C-46F4-8B4A-26E16FB6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1503</Words>
  <Characters>8570</Characters>
  <Application>Microsoft Office Word</Application>
  <DocSecurity>0</DocSecurity>
  <Lines>71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Kristīne Lavendele</cp:lastModifiedBy>
  <cp:revision>4</cp:revision>
  <dcterms:created xsi:type="dcterms:W3CDTF">2021-01-27T21:18:00Z</dcterms:created>
  <dcterms:modified xsi:type="dcterms:W3CDTF">2021-01-29T11:28:00Z</dcterms:modified>
</cp:coreProperties>
</file>