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2696" w14:textId="2AA8D73C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D23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TNPz </w:t>
      </w:r>
      <w:r w:rsidR="00721A25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>202</w:t>
      </w:r>
      <w:r w:rsidR="00D23326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721A25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D23326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>111</w:t>
      </w:r>
    </w:p>
    <w:p w14:paraId="2E3E38F6" w14:textId="77777777" w:rsidR="00C13A0D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E00F64" w:rsidRPr="00D23326">
        <w:rPr>
          <w:rFonts w:ascii="Times New Roman" w:hAnsi="Times New Roman" w:cs="Times New Roman"/>
          <w:b/>
          <w:sz w:val="24"/>
          <w:szCs w:val="24"/>
        </w:rPr>
        <w:t xml:space="preserve">Talsu Valsts ģimnāzijas sporta halles starppaneļu šuvju </w:t>
      </w:r>
      <w:r w:rsidR="00FD2C1E" w:rsidRPr="00D23326">
        <w:rPr>
          <w:rFonts w:ascii="Times New Roman" w:hAnsi="Times New Roman" w:cs="Times New Roman"/>
          <w:b/>
          <w:sz w:val="24"/>
          <w:szCs w:val="24"/>
        </w:rPr>
        <w:t>atjaunošana</w:t>
      </w:r>
      <w:r w:rsidR="0030573F" w:rsidRPr="00D23326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6663E7C0" w:rsidR="007029EF" w:rsidRPr="006370D8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26">
        <w:rPr>
          <w:rFonts w:ascii="Times New Roman" w:hAnsi="Times New Roman" w:cs="Times New Roman"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E00F64" w:rsidRPr="006370D8">
        <w:rPr>
          <w:rFonts w:ascii="Times New Roman" w:hAnsi="Times New Roman" w:cs="Times New Roman"/>
          <w:sz w:val="24"/>
          <w:szCs w:val="24"/>
        </w:rPr>
        <w:t xml:space="preserve">alsu Valsts ģimnāzijas sporta halles starppaneļu šuvju </w:t>
      </w:r>
      <w:r w:rsidRPr="00D23326">
        <w:rPr>
          <w:rFonts w:ascii="Times New Roman" w:hAnsi="Times New Roman" w:cs="Times New Roman"/>
          <w:bCs/>
          <w:sz w:val="24"/>
          <w:szCs w:val="24"/>
        </w:rPr>
        <w:t>atjaunošana</w:t>
      </w:r>
      <w:r w:rsidR="00196EAA" w:rsidRPr="006370D8">
        <w:rPr>
          <w:rFonts w:ascii="Times New Roman" w:hAnsi="Times New Roman" w:cs="Times New Roman"/>
          <w:sz w:val="24"/>
          <w:szCs w:val="24"/>
        </w:rPr>
        <w:t>, kuru p</w:t>
      </w:r>
      <w:r w:rsidR="0061479C" w:rsidRPr="006370D8">
        <w:rPr>
          <w:rFonts w:ascii="Times New Roman" w:hAnsi="Times New Roman" w:cs="Times New Roman"/>
          <w:sz w:val="24"/>
          <w:szCs w:val="24"/>
        </w:rPr>
        <w:t>akalpojuma sniedzējs</w:t>
      </w:r>
      <w:r w:rsidR="00D30CEB" w:rsidRPr="006370D8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175A48">
        <w:rPr>
          <w:rFonts w:ascii="Times New Roman" w:hAnsi="Times New Roman" w:cs="Times New Roman"/>
          <w:sz w:val="24"/>
          <w:szCs w:val="24"/>
        </w:rPr>
        <w:t>1. pielikumu – Darbu apjomu tāmi un 5. pielikumu – Šuvju renovācijas tehnoloģiju.</w:t>
      </w:r>
    </w:p>
    <w:p w14:paraId="2821EED0" w14:textId="77777777" w:rsidR="007029EF" w:rsidRPr="007029EF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D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4539BF">
        <w:rPr>
          <w:rFonts w:ascii="Times New Roman" w:hAnsi="Times New Roman" w:cs="Times New Roman"/>
          <w:sz w:val="24"/>
          <w:szCs w:val="24"/>
        </w:rPr>
        <w:t>Brīvības iela 29</w:t>
      </w:r>
      <w:r w:rsidR="00B72FA0" w:rsidRPr="00B72FA0">
        <w:rPr>
          <w:rFonts w:ascii="Times New Roman" w:hAnsi="Times New Roman" w:cs="Times New Roman"/>
          <w:sz w:val="24"/>
          <w:szCs w:val="24"/>
        </w:rPr>
        <w:t xml:space="preserve">, </w:t>
      </w:r>
      <w:r w:rsidR="004539BF">
        <w:rPr>
          <w:rFonts w:ascii="Times New Roman" w:hAnsi="Times New Roman" w:cs="Times New Roman"/>
          <w:sz w:val="24"/>
          <w:szCs w:val="24"/>
        </w:rPr>
        <w:t>Talsi</w:t>
      </w:r>
      <w:r w:rsidRPr="007029EF">
        <w:rPr>
          <w:rFonts w:ascii="Times New Roman" w:hAnsi="Times New Roman" w:cs="Times New Roman"/>
          <w:sz w:val="24"/>
          <w:szCs w:val="24"/>
        </w:rPr>
        <w:t xml:space="preserve">, </w:t>
      </w:r>
      <w:r w:rsidR="004539BF">
        <w:rPr>
          <w:rFonts w:ascii="Times New Roman" w:hAnsi="Times New Roman" w:cs="Times New Roman"/>
          <w:sz w:val="24"/>
          <w:szCs w:val="24"/>
        </w:rPr>
        <w:t>LV-3201.</w:t>
      </w:r>
    </w:p>
    <w:p w14:paraId="38D36419" w14:textId="090FB4AF" w:rsidR="007029EF" w:rsidRPr="007029EF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A48">
        <w:rPr>
          <w:rFonts w:ascii="Times New Roman" w:hAnsi="Times New Roman" w:cs="Times New Roman"/>
          <w:sz w:val="24"/>
          <w:szCs w:val="24"/>
        </w:rPr>
        <w:t>3 (trīs)</w:t>
      </w:r>
      <w:r w:rsidR="00D27A54">
        <w:rPr>
          <w:rFonts w:ascii="Times New Roman" w:hAnsi="Times New Roman" w:cs="Times New Roman"/>
          <w:sz w:val="24"/>
          <w:szCs w:val="24"/>
        </w:rPr>
        <w:t xml:space="preserve"> kalendār</w:t>
      </w:r>
      <w:r w:rsidR="00175A48">
        <w:rPr>
          <w:rFonts w:ascii="Times New Roman" w:hAnsi="Times New Roman" w:cs="Times New Roman"/>
          <w:sz w:val="24"/>
          <w:szCs w:val="24"/>
        </w:rPr>
        <w:t>o</w:t>
      </w:r>
      <w:r w:rsidR="004539BF">
        <w:rPr>
          <w:rFonts w:ascii="Times New Roman" w:hAnsi="Times New Roman" w:cs="Times New Roman"/>
          <w:sz w:val="24"/>
          <w:szCs w:val="24"/>
        </w:rPr>
        <w:t xml:space="preserve"> nedēļ</w:t>
      </w:r>
      <w:r w:rsidR="00175A48">
        <w:rPr>
          <w:rFonts w:ascii="Times New Roman" w:hAnsi="Times New Roman" w:cs="Times New Roman"/>
          <w:sz w:val="24"/>
          <w:szCs w:val="24"/>
        </w:rPr>
        <w:t>u laikā no līguma noslēgšanas brīža.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38D01810"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175A48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175A48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8245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75A48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14. oktobra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539BF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77777777" w:rsidR="00175A48" w:rsidRDefault="00F753D3" w:rsidP="00175A48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4539BF">
        <w:rPr>
          <w:rFonts w:ascii="Times New Roman" w:hAnsi="Times New Roman" w:cs="Times New Roman"/>
          <w:sz w:val="24"/>
          <w:szCs w:val="24"/>
        </w:rPr>
        <w:t>Talsu novada pašvaldības Saimnieciskā nodrošinājuma nodaļas celtniecības speciālists</w:t>
      </w:r>
      <w:r w:rsidR="00B72FA0" w:rsidRPr="00B72FA0">
        <w:rPr>
          <w:rFonts w:ascii="Times New Roman" w:hAnsi="Times New Roman" w:cs="Times New Roman"/>
          <w:sz w:val="24"/>
          <w:szCs w:val="24"/>
        </w:rPr>
        <w:t xml:space="preserve"> </w:t>
      </w:r>
      <w:r w:rsidR="004539BF">
        <w:rPr>
          <w:rFonts w:ascii="Times New Roman" w:hAnsi="Times New Roman" w:cs="Times New Roman"/>
          <w:sz w:val="24"/>
          <w:szCs w:val="24"/>
        </w:rPr>
        <w:t>A</w:t>
      </w:r>
      <w:r w:rsidR="00175A48">
        <w:rPr>
          <w:rFonts w:ascii="Times New Roman" w:hAnsi="Times New Roman" w:cs="Times New Roman"/>
          <w:sz w:val="24"/>
          <w:szCs w:val="24"/>
        </w:rPr>
        <w:t>ndrejs</w:t>
      </w:r>
      <w:r w:rsidR="00C131C8">
        <w:rPr>
          <w:rFonts w:ascii="Times New Roman" w:hAnsi="Times New Roman" w:cs="Times New Roman"/>
          <w:sz w:val="24"/>
          <w:szCs w:val="24"/>
        </w:rPr>
        <w:t xml:space="preserve"> </w:t>
      </w:r>
      <w:r w:rsidR="004539BF">
        <w:rPr>
          <w:rFonts w:ascii="Times New Roman" w:hAnsi="Times New Roman" w:cs="Times New Roman"/>
          <w:sz w:val="24"/>
          <w:szCs w:val="24"/>
        </w:rPr>
        <w:t>Aveniņš</w:t>
      </w:r>
      <w:r w:rsidR="00C131C8">
        <w:rPr>
          <w:rFonts w:ascii="Times New Roman" w:hAnsi="Times New Roman" w:cs="Times New Roman"/>
          <w:sz w:val="24"/>
          <w:szCs w:val="24"/>
        </w:rPr>
        <w:t xml:space="preserve">, tālr. 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4539BF">
        <w:rPr>
          <w:rFonts w:ascii="Times New Roman" w:hAnsi="Times New Roman" w:cs="Times New Roman"/>
          <w:sz w:val="24"/>
          <w:szCs w:val="24"/>
        </w:rPr>
        <w:t>8343818</w:t>
      </w:r>
      <w:r w:rsidR="00C5303B" w:rsidRPr="00B72FA0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C43505" w:rsidRPr="00285609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="00B72F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Default="00175A48" w:rsidP="00175A48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0421C417" w:rsidR="00473BCD" w:rsidRPr="00175A48" w:rsidRDefault="00175A48" w:rsidP="00175A48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175A48">
        <w:rPr>
          <w:rFonts w:ascii="Times New Roman" w:hAnsi="Times New Roman" w:cs="Times New Roman"/>
          <w:sz w:val="24"/>
          <w:szCs w:val="24"/>
        </w:rPr>
        <w:t>jānorāda: Pieteikums Nr. TNPz 2022/1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75A48">
        <w:rPr>
          <w:rFonts w:ascii="Times New Roman" w:hAnsi="Times New Roman" w:cs="Times New Roman"/>
          <w:sz w:val="24"/>
          <w:szCs w:val="24"/>
        </w:rPr>
        <w:t xml:space="preserve"> “Talsu Valsts ģimnāzijas sporta halles starppaneļu šuvju atjaunošana”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E1D13" w14:textId="77777777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14:paraId="5E0782CC" w14:textId="77777777" w:rsidR="00175A48" w:rsidRDefault="00175A48" w:rsidP="006D6E73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77777777" w:rsidR="00175A48" w:rsidRDefault="00175A48" w:rsidP="006D6E73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Pretendentam pie iesniedzamajiem dokumentiem, pievieno no savas puses aizpildītu,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5A48">
        <w:rPr>
          <w:rFonts w:ascii="Times New Roman" w:hAnsi="Times New Roman" w:cs="Times New Roman"/>
          <w:sz w:val="24"/>
          <w:szCs w:val="24"/>
        </w:rPr>
        <w:t>.pielikumu – Pretendenta pieteikumu un finanšu piedāvājumu.</w:t>
      </w:r>
    </w:p>
    <w:p w14:paraId="69A40978" w14:textId="25486005" w:rsidR="00175A48" w:rsidRDefault="00175A48" w:rsidP="006D6E73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Talsu Valsts ģimnāzijas sporta halles starppaneļu šuvju atjaunošana </w:t>
      </w:r>
      <w:r w:rsidRPr="00175A48">
        <w:rPr>
          <w:rFonts w:ascii="Times New Roman" w:hAnsi="Times New Roman" w:cs="Times New Roman"/>
          <w:sz w:val="24"/>
          <w:szCs w:val="24"/>
        </w:rPr>
        <w:t xml:space="preserve">tiktu plānota atbilstoši reālajai situācijai, nevis virspusējiem pieņēmumiem vai sākotnējai informācijai, pirms piedāvājuma iesniegšanas no pretendenta puses jāveic objekta apsekošana un pie iesniedzamajiem dokumentiem jāpievieno </w:t>
      </w:r>
      <w:r w:rsidR="00800110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 xml:space="preserve">. pielikums – Apliecinājums par objekta apsekošanu. </w:t>
      </w:r>
    </w:p>
    <w:p w14:paraId="575B9E2A" w14:textId="77777777" w:rsidR="00175A48" w:rsidRDefault="00175A48" w:rsidP="006D6E73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Piedāvājumam jāatbilst 1. pielikumam –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tāmei.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“Būvizmaksu noteikšanas kārtība”.</w:t>
      </w:r>
    </w:p>
    <w:p w14:paraId="5624A8B3" w14:textId="7F6863F0" w:rsidR="008C22F1" w:rsidRPr="00175A48" w:rsidRDefault="008C22F1" w:rsidP="006D6E73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 gadā līdz piedāvājumu iesniegšanas termiņa beigām) ir izpildījis 1 (vienu) līgumu, kura ietvaros veikt</w:t>
      </w:r>
      <w:r w:rsidR="008550C0">
        <w:rPr>
          <w:rFonts w:ascii="Times New Roman" w:hAnsi="Times New Roman" w:cs="Times New Roman"/>
          <w:sz w:val="24"/>
          <w:szCs w:val="24"/>
        </w:rPr>
        <w:t>a</w:t>
      </w:r>
      <w:r w:rsidRPr="00175A48">
        <w:rPr>
          <w:rFonts w:ascii="Times New Roman" w:hAnsi="Times New Roman" w:cs="Times New Roman"/>
          <w:sz w:val="24"/>
          <w:szCs w:val="24"/>
        </w:rPr>
        <w:t xml:space="preserve"> starppaneļu šuvju </w:t>
      </w:r>
      <w:r w:rsidR="006A1F3D" w:rsidRPr="00175A48">
        <w:rPr>
          <w:rFonts w:ascii="Times New Roman" w:hAnsi="Times New Roman" w:cs="Times New Roman"/>
          <w:sz w:val="24"/>
          <w:szCs w:val="24"/>
        </w:rPr>
        <w:t>aizpildīšana vai atjaunošana</w:t>
      </w:r>
      <w:r w:rsidRPr="00175A48">
        <w:rPr>
          <w:rFonts w:ascii="Times New Roman" w:hAnsi="Times New Roman" w:cs="Times New Roman"/>
          <w:sz w:val="24"/>
          <w:szCs w:val="24"/>
        </w:rPr>
        <w:t xml:space="preserve">. Darbiem ir jābūt pilnībā pabeigtiem un objektiem ir jābūt pieņemtiem ekspluatācijā uz piedāvājuma iesniegšanas dienu. 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Piedāvājumam jāpievieno viena pozitīva atsauksme.</w:t>
      </w:r>
      <w:r w:rsidRPr="006A1F3D">
        <w:t xml:space="preserve"> </w:t>
      </w:r>
    </w:p>
    <w:p w14:paraId="5768CAF8" w14:textId="4AD62687" w:rsidR="00860607" w:rsidRPr="007C49AE" w:rsidRDefault="00DB1437" w:rsidP="007C49A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norādīto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 xml:space="preserve"> ar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„EKVIVALENTS”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49BFCBE8" w14:textId="77777777" w:rsidR="00175A48" w:rsidRDefault="00EE1655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lastRenderedPageBreak/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77777777" w:rsidR="00175A48" w:rsidRDefault="000113EB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175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175A48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175A48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E20D9" w:rsidRPr="00175A48">
        <w:rPr>
          <w:rFonts w:ascii="Times New Roman" w:hAnsi="Times New Roman" w:cs="Times New Roman"/>
          <w:sz w:val="24"/>
          <w:szCs w:val="24"/>
        </w:rPr>
        <w:t>.</w:t>
      </w:r>
      <w:r w:rsidR="00DA0C68" w:rsidRPr="0017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7E4D" w14:textId="57D269E7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apsekot 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 xml:space="preserve">2022. gada </w:t>
      </w:r>
      <w:r>
        <w:rPr>
          <w:rFonts w:ascii="Times New Roman" w:hAnsi="Times New Roman" w:cs="Times New Roman"/>
          <w:b/>
          <w:bCs/>
          <w:sz w:val="24"/>
          <w:szCs w:val="24"/>
        </w:rPr>
        <w:t>12. oktobrī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 xml:space="preserve"> no plkst.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 xml:space="preserve">.00 līdz plkst.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75A48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175A48">
        <w:rPr>
          <w:rFonts w:ascii="Times New Roman" w:hAnsi="Times New Roman" w:cs="Times New Roman"/>
          <w:sz w:val="24"/>
          <w:szCs w:val="24"/>
        </w:rPr>
        <w:t>, vai citā laikā iepriekš vienojoties par apsekošanas laiku ar 2.2. 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26170D8C" w14:textId="0A5BEF49" w:rsidR="0017623C" w:rsidRPr="006D6E73" w:rsidRDefault="008E2129" w:rsidP="008E212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175A4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1" w:history="1">
        <w:r w:rsidR="006D6E73"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77777777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3F00ACB9" w:rsidR="002715D0" w:rsidRPr="006D6E73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2761" w14:textId="77777777" w:rsidR="00366A1C" w:rsidRDefault="00366A1C" w:rsidP="0037564F">
      <w:pPr>
        <w:spacing w:after="0" w:line="240" w:lineRule="auto"/>
      </w:pPr>
      <w:r>
        <w:separator/>
      </w:r>
    </w:p>
  </w:endnote>
  <w:endnote w:type="continuationSeparator" w:id="0">
    <w:p w14:paraId="1C73C68E" w14:textId="77777777" w:rsidR="00366A1C" w:rsidRDefault="00366A1C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77777777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B54256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F5C5" w14:textId="77777777" w:rsidR="00366A1C" w:rsidRDefault="00366A1C" w:rsidP="0037564F">
      <w:pPr>
        <w:spacing w:after="0" w:line="240" w:lineRule="auto"/>
      </w:pPr>
      <w:r>
        <w:separator/>
      </w:r>
    </w:p>
  </w:footnote>
  <w:footnote w:type="continuationSeparator" w:id="0">
    <w:p w14:paraId="39C35708" w14:textId="77777777" w:rsidR="00366A1C" w:rsidRDefault="00366A1C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56476729">
    <w:abstractNumId w:val="1"/>
  </w:num>
  <w:num w:numId="2" w16cid:durableId="655914739">
    <w:abstractNumId w:val="0"/>
  </w:num>
  <w:num w:numId="3" w16cid:durableId="644504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4067"/>
    <w:rsid w:val="00101A57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77CCE"/>
    <w:rsid w:val="0028237D"/>
    <w:rsid w:val="00291539"/>
    <w:rsid w:val="002948A3"/>
    <w:rsid w:val="002A4213"/>
    <w:rsid w:val="002A65A6"/>
    <w:rsid w:val="002B1D79"/>
    <w:rsid w:val="002D000B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7E86"/>
    <w:rsid w:val="004539BF"/>
    <w:rsid w:val="004620DE"/>
    <w:rsid w:val="00465904"/>
    <w:rsid w:val="0047350D"/>
    <w:rsid w:val="00473BCD"/>
    <w:rsid w:val="00477E7F"/>
    <w:rsid w:val="004B6315"/>
    <w:rsid w:val="004C5765"/>
    <w:rsid w:val="004C62F9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408BA"/>
    <w:rsid w:val="00751DA7"/>
    <w:rsid w:val="00757FDB"/>
    <w:rsid w:val="00761E3F"/>
    <w:rsid w:val="0078799C"/>
    <w:rsid w:val="00795C01"/>
    <w:rsid w:val="007A741E"/>
    <w:rsid w:val="007C49AE"/>
    <w:rsid w:val="007D7CCA"/>
    <w:rsid w:val="007E00A1"/>
    <w:rsid w:val="007F2E1A"/>
    <w:rsid w:val="007F4173"/>
    <w:rsid w:val="00800110"/>
    <w:rsid w:val="00813BE0"/>
    <w:rsid w:val="0083671C"/>
    <w:rsid w:val="008550C0"/>
    <w:rsid w:val="00857ADA"/>
    <w:rsid w:val="00857B85"/>
    <w:rsid w:val="00860607"/>
    <w:rsid w:val="00871C55"/>
    <w:rsid w:val="00876FD5"/>
    <w:rsid w:val="00895F02"/>
    <w:rsid w:val="008B56DD"/>
    <w:rsid w:val="008B7C67"/>
    <w:rsid w:val="008C22F1"/>
    <w:rsid w:val="008C6276"/>
    <w:rsid w:val="008C7567"/>
    <w:rsid w:val="008E11CE"/>
    <w:rsid w:val="008E2129"/>
    <w:rsid w:val="009063ED"/>
    <w:rsid w:val="009420E8"/>
    <w:rsid w:val="00952274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7A1F"/>
    <w:rsid w:val="00A977F0"/>
    <w:rsid w:val="00AB55E0"/>
    <w:rsid w:val="00AB6053"/>
    <w:rsid w:val="00AD517D"/>
    <w:rsid w:val="00AE7D69"/>
    <w:rsid w:val="00AF01EA"/>
    <w:rsid w:val="00AF61B0"/>
    <w:rsid w:val="00B06365"/>
    <w:rsid w:val="00B1134D"/>
    <w:rsid w:val="00B4259F"/>
    <w:rsid w:val="00B53139"/>
    <w:rsid w:val="00B54256"/>
    <w:rsid w:val="00B5540D"/>
    <w:rsid w:val="00B60C36"/>
    <w:rsid w:val="00B72FA0"/>
    <w:rsid w:val="00B95BB9"/>
    <w:rsid w:val="00BA34FA"/>
    <w:rsid w:val="00BE0D83"/>
    <w:rsid w:val="00C131C8"/>
    <w:rsid w:val="00C13A0D"/>
    <w:rsid w:val="00C157F1"/>
    <w:rsid w:val="00C42008"/>
    <w:rsid w:val="00C43505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C035D"/>
    <w:rsid w:val="00CE2CEA"/>
    <w:rsid w:val="00CE6CC4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81E35"/>
    <w:rsid w:val="00D8245A"/>
    <w:rsid w:val="00DA0C68"/>
    <w:rsid w:val="00DA2420"/>
    <w:rsid w:val="00DB1437"/>
    <w:rsid w:val="00DC1D63"/>
    <w:rsid w:val="00DC712D"/>
    <w:rsid w:val="00E00F64"/>
    <w:rsid w:val="00E029BE"/>
    <w:rsid w:val="00E05BD2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F123CE"/>
    <w:rsid w:val="00F14810"/>
    <w:rsid w:val="00F16B19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js.avenins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E366-059A-43C2-B50A-CD9AAA13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10</cp:revision>
  <cp:lastPrinted>2020-04-09T08:30:00Z</cp:lastPrinted>
  <dcterms:created xsi:type="dcterms:W3CDTF">2022-09-21T07:41:00Z</dcterms:created>
  <dcterms:modified xsi:type="dcterms:W3CDTF">2022-10-06T05:42:00Z</dcterms:modified>
</cp:coreProperties>
</file>