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44" w:rsidRDefault="001A6B44" w:rsidP="001A6B44">
      <w:pPr>
        <w:tabs>
          <w:tab w:val="left" w:pos="540"/>
        </w:tabs>
        <w:spacing w:after="0" w:line="240" w:lineRule="auto"/>
        <w:ind w:right="-6"/>
        <w:jc w:val="right"/>
        <w:outlineLvl w:val="0"/>
        <w:rPr>
          <w:rFonts w:ascii="Times New Roman" w:hAnsi="Times New Roman"/>
          <w:szCs w:val="24"/>
        </w:rPr>
      </w:pPr>
      <w:r>
        <w:rPr>
          <w:rFonts w:ascii="Times New Roman" w:hAnsi="Times New Roman"/>
          <w:szCs w:val="24"/>
        </w:rPr>
        <w:t>3.pielikums</w:t>
      </w:r>
    </w:p>
    <w:p w:rsidR="001A6B44" w:rsidRDefault="001A6B44" w:rsidP="001A6B44">
      <w:pPr>
        <w:tabs>
          <w:tab w:val="left" w:pos="540"/>
        </w:tabs>
        <w:spacing w:after="0" w:line="240" w:lineRule="auto"/>
        <w:ind w:right="-6"/>
        <w:jc w:val="right"/>
        <w:outlineLvl w:val="0"/>
        <w:rPr>
          <w:rFonts w:ascii="Times New Roman" w:hAnsi="Times New Roman"/>
          <w:szCs w:val="24"/>
        </w:rPr>
      </w:pPr>
      <w:r>
        <w:rPr>
          <w:rFonts w:ascii="Times New Roman" w:hAnsi="Times New Roman"/>
          <w:szCs w:val="24"/>
        </w:rPr>
        <w:t xml:space="preserve">Cenu aptaujas “Talsu novada bezpiederīgo mirušo apbedīšanas pakalpojuma </w:t>
      </w:r>
    </w:p>
    <w:p w:rsidR="00401F02" w:rsidRPr="00401F02" w:rsidRDefault="001A6B44" w:rsidP="001A6B44">
      <w:pPr>
        <w:tabs>
          <w:tab w:val="left" w:pos="540"/>
        </w:tabs>
        <w:spacing w:after="0" w:line="240" w:lineRule="auto"/>
        <w:ind w:right="-6"/>
        <w:jc w:val="right"/>
        <w:outlineLvl w:val="0"/>
        <w:rPr>
          <w:rFonts w:ascii="Times New Roman" w:eastAsia="Calibri" w:hAnsi="Times New Roman" w:cs="Times New Roman"/>
          <w:sz w:val="24"/>
          <w:szCs w:val="24"/>
        </w:rPr>
      </w:pPr>
      <w:r>
        <w:rPr>
          <w:rFonts w:ascii="Times New Roman" w:hAnsi="Times New Roman"/>
          <w:szCs w:val="24"/>
        </w:rPr>
        <w:t>sniegšan</w:t>
      </w:r>
      <w:r w:rsidR="00A30209">
        <w:rPr>
          <w:rFonts w:ascii="Times New Roman" w:hAnsi="Times New Roman"/>
          <w:szCs w:val="24"/>
        </w:rPr>
        <w:t>a</w:t>
      </w:r>
      <w:r>
        <w:rPr>
          <w:rFonts w:ascii="Times New Roman" w:hAnsi="Times New Roman"/>
          <w:szCs w:val="24"/>
        </w:rPr>
        <w:t xml:space="preserve"> un kapavietu labie</w:t>
      </w:r>
      <w:r w:rsidR="00415FE1">
        <w:rPr>
          <w:rFonts w:ascii="Times New Roman" w:hAnsi="Times New Roman"/>
          <w:szCs w:val="24"/>
        </w:rPr>
        <w:t>kārtošana” ID Nr. TNPz 2022/20</w:t>
      </w:r>
    </w:p>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p w:rsidR="00401F02" w:rsidRPr="00401F02" w:rsidRDefault="00401F02" w:rsidP="001A6B44">
      <w:pPr>
        <w:tabs>
          <w:tab w:val="left" w:pos="540"/>
        </w:tabs>
        <w:spacing w:after="0" w:line="240" w:lineRule="auto"/>
        <w:ind w:right="-6"/>
        <w:jc w:val="center"/>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FINANŠU PIEDĀVĀJUMS</w:t>
      </w:r>
    </w:p>
    <w:p w:rsidR="00401F02" w:rsidRPr="001A6B44" w:rsidRDefault="00401F02" w:rsidP="001A6B44">
      <w:pPr>
        <w:tabs>
          <w:tab w:val="left" w:pos="540"/>
        </w:tabs>
        <w:spacing w:after="0" w:line="240" w:lineRule="auto"/>
        <w:ind w:right="-6"/>
        <w:jc w:val="center"/>
        <w:outlineLvl w:val="0"/>
        <w:rPr>
          <w:rFonts w:ascii="Times New Roman" w:eastAsia="Calibri" w:hAnsi="Times New Roman" w:cs="Times New Roman"/>
          <w:sz w:val="24"/>
          <w:szCs w:val="24"/>
        </w:rPr>
      </w:pPr>
      <w:r w:rsidRPr="001A6B44">
        <w:rPr>
          <w:rFonts w:ascii="Times New Roman" w:eastAsia="Calibri" w:hAnsi="Times New Roman" w:cs="Times New Roman"/>
          <w:sz w:val="24"/>
          <w:szCs w:val="24"/>
        </w:rPr>
        <w:t>“Talsu novada bezpiederīgo mirušo apbedīšanas pakalpojuma sniegšan</w:t>
      </w:r>
      <w:r w:rsidR="00A30209">
        <w:rPr>
          <w:rFonts w:ascii="Times New Roman" w:eastAsia="Calibri" w:hAnsi="Times New Roman" w:cs="Times New Roman"/>
          <w:sz w:val="24"/>
          <w:szCs w:val="24"/>
        </w:rPr>
        <w:t>a</w:t>
      </w:r>
      <w:bookmarkStart w:id="0" w:name="_GoBack"/>
      <w:bookmarkEnd w:id="0"/>
      <w:r w:rsidRPr="001A6B44">
        <w:rPr>
          <w:rFonts w:ascii="Times New Roman" w:eastAsia="Calibri" w:hAnsi="Times New Roman" w:cs="Times New Roman"/>
          <w:sz w:val="24"/>
          <w:szCs w:val="24"/>
        </w:rPr>
        <w:t xml:space="preserve"> un kapavietu labiekārtošana”</w:t>
      </w:r>
    </w:p>
    <w:p w:rsidR="00401F02" w:rsidRPr="00401F02" w:rsidRDefault="00401F02" w:rsidP="001A6B44">
      <w:pPr>
        <w:tabs>
          <w:tab w:val="left" w:pos="540"/>
        </w:tabs>
        <w:spacing w:after="0" w:line="240" w:lineRule="auto"/>
        <w:ind w:right="-6"/>
        <w:jc w:val="center"/>
        <w:outlineLvl w:val="0"/>
        <w:rPr>
          <w:rFonts w:ascii="Times New Roman" w:eastAsia="Calibri" w:hAnsi="Times New Roman" w:cs="Times New Roman"/>
          <w:sz w:val="24"/>
          <w:szCs w:val="24"/>
        </w:rPr>
      </w:pPr>
    </w:p>
    <w:tbl>
      <w:tblPr>
        <w:tblStyle w:val="Reatabula"/>
        <w:tblW w:w="0" w:type="auto"/>
        <w:tblLook w:val="04A0" w:firstRow="1" w:lastRow="0" w:firstColumn="1" w:lastColumn="0" w:noHBand="0" w:noVBand="1"/>
      </w:tblPr>
      <w:tblGrid>
        <w:gridCol w:w="3828"/>
        <w:gridCol w:w="5376"/>
      </w:tblGrid>
      <w:tr w:rsidR="00401F02" w:rsidRPr="00401F02" w:rsidTr="00FD411F">
        <w:tc>
          <w:tcPr>
            <w:tcW w:w="3828" w:type="dxa"/>
            <w:tcBorders>
              <w:top w:val="nil"/>
              <w:left w:val="nil"/>
              <w:bottom w:val="single" w:sz="4" w:space="0" w:color="auto"/>
              <w:right w:val="nil"/>
            </w:tcBorders>
          </w:tcPr>
          <w:p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Pretendenta nosaukums:</w:t>
            </w:r>
          </w:p>
        </w:tc>
        <w:tc>
          <w:tcPr>
            <w:tcW w:w="5376" w:type="dxa"/>
            <w:tcBorders>
              <w:top w:val="nil"/>
              <w:left w:val="nil"/>
              <w:bottom w:val="single" w:sz="4" w:space="0" w:color="auto"/>
              <w:right w:val="nil"/>
            </w:tcBorders>
          </w:tcPr>
          <w:p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rsidTr="00FD411F">
        <w:tc>
          <w:tcPr>
            <w:tcW w:w="3828" w:type="dxa"/>
            <w:tcBorders>
              <w:top w:val="single" w:sz="4" w:space="0" w:color="auto"/>
              <w:left w:val="nil"/>
              <w:bottom w:val="single" w:sz="4" w:space="0" w:color="auto"/>
              <w:right w:val="nil"/>
            </w:tcBorders>
          </w:tcPr>
          <w:p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Juridiskās adrese:</w:t>
            </w:r>
          </w:p>
        </w:tc>
        <w:tc>
          <w:tcPr>
            <w:tcW w:w="5376" w:type="dxa"/>
            <w:tcBorders>
              <w:top w:val="single" w:sz="4" w:space="0" w:color="auto"/>
              <w:left w:val="nil"/>
              <w:bottom w:val="single" w:sz="4" w:space="0" w:color="auto"/>
              <w:right w:val="nil"/>
            </w:tcBorders>
          </w:tcPr>
          <w:p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rsidTr="00FD411F">
        <w:tc>
          <w:tcPr>
            <w:tcW w:w="3828" w:type="dxa"/>
            <w:tcBorders>
              <w:top w:val="single" w:sz="4" w:space="0" w:color="auto"/>
              <w:left w:val="nil"/>
              <w:bottom w:val="single" w:sz="4" w:space="0" w:color="auto"/>
              <w:right w:val="nil"/>
            </w:tcBorders>
          </w:tcPr>
          <w:p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Nodokļu maksātāja reģistrācijas Nr.:</w:t>
            </w:r>
          </w:p>
        </w:tc>
        <w:tc>
          <w:tcPr>
            <w:tcW w:w="5376" w:type="dxa"/>
            <w:tcBorders>
              <w:top w:val="single" w:sz="4" w:space="0" w:color="auto"/>
              <w:left w:val="nil"/>
              <w:bottom w:val="single" w:sz="4" w:space="0" w:color="auto"/>
              <w:right w:val="nil"/>
            </w:tcBorders>
          </w:tcPr>
          <w:p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rsidTr="00FD411F">
        <w:tc>
          <w:tcPr>
            <w:tcW w:w="3828" w:type="dxa"/>
            <w:tcBorders>
              <w:top w:val="single" w:sz="4" w:space="0" w:color="auto"/>
              <w:left w:val="nil"/>
              <w:bottom w:val="single" w:sz="4" w:space="0" w:color="auto"/>
              <w:right w:val="nil"/>
            </w:tcBorders>
          </w:tcPr>
          <w:p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Bankas rekvizīti:</w:t>
            </w:r>
          </w:p>
        </w:tc>
        <w:tc>
          <w:tcPr>
            <w:tcW w:w="5376" w:type="dxa"/>
            <w:tcBorders>
              <w:top w:val="single" w:sz="4" w:space="0" w:color="auto"/>
              <w:left w:val="nil"/>
              <w:bottom w:val="single" w:sz="4" w:space="0" w:color="auto"/>
              <w:right w:val="nil"/>
            </w:tcBorders>
          </w:tcPr>
          <w:p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bl>
    <w:p w:rsidR="00401F02" w:rsidRPr="00401F02" w:rsidRDefault="00401F02" w:rsidP="001A6B44">
      <w:pPr>
        <w:tabs>
          <w:tab w:val="left" w:pos="540"/>
        </w:tabs>
        <w:spacing w:after="0" w:line="240" w:lineRule="auto"/>
        <w:ind w:right="-6"/>
        <w:outlineLvl w:val="0"/>
        <w:rPr>
          <w:rFonts w:ascii="Times New Roman" w:eastAsia="Calibri" w:hAnsi="Times New Roman" w:cs="Times New Roman"/>
          <w:b/>
          <w:sz w:val="24"/>
          <w:szCs w:val="24"/>
        </w:rPr>
      </w:pPr>
    </w:p>
    <w:p w:rsidR="00401F02" w:rsidRPr="00401F02" w:rsidRDefault="00401F02" w:rsidP="001A6B44">
      <w:pPr>
        <w:tabs>
          <w:tab w:val="left" w:pos="540"/>
        </w:tabs>
        <w:spacing w:after="0" w:line="240" w:lineRule="auto"/>
        <w:ind w:right="-6" w:firstLine="567"/>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Piedāvājam izpildīt pasūtījumu saskaņā a</w:t>
      </w:r>
      <w:r w:rsidR="001A6B44">
        <w:rPr>
          <w:rFonts w:ascii="Times New Roman" w:eastAsia="Calibri" w:hAnsi="Times New Roman" w:cs="Times New Roman"/>
          <w:b/>
          <w:sz w:val="24"/>
          <w:szCs w:val="24"/>
        </w:rPr>
        <w:t>r cenu aptaujas ID Nr. TNPz 2022</w:t>
      </w:r>
      <w:r w:rsidRPr="00401F02">
        <w:rPr>
          <w:rFonts w:ascii="Times New Roman" w:eastAsia="Calibri" w:hAnsi="Times New Roman" w:cs="Times New Roman"/>
          <w:b/>
          <w:sz w:val="24"/>
          <w:szCs w:val="24"/>
        </w:rPr>
        <w:t>/</w:t>
      </w:r>
      <w:r w:rsidR="00415FE1">
        <w:rPr>
          <w:rFonts w:ascii="Times New Roman" w:eastAsia="Calibri" w:hAnsi="Times New Roman" w:cs="Times New Roman"/>
          <w:b/>
          <w:sz w:val="24"/>
          <w:szCs w:val="24"/>
        </w:rPr>
        <w:t>20</w:t>
      </w:r>
      <w:r w:rsidRPr="00401F02">
        <w:rPr>
          <w:rFonts w:ascii="Times New Roman" w:eastAsia="Calibri" w:hAnsi="Times New Roman" w:cs="Times New Roman"/>
          <w:b/>
          <w:sz w:val="24"/>
          <w:szCs w:val="24"/>
        </w:rPr>
        <w:t xml:space="preserve"> izvirzītajām prasībām EUR (neiesk. PVN):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44"/>
        <w:gridCol w:w="1259"/>
        <w:gridCol w:w="867"/>
        <w:gridCol w:w="1543"/>
        <w:gridCol w:w="1276"/>
      </w:tblGrid>
      <w:tr w:rsidR="00401F02" w:rsidRPr="00401F02" w:rsidTr="00213AC3">
        <w:trPr>
          <w:trHeight w:val="284"/>
          <w:jc w:val="center"/>
        </w:trPr>
        <w:tc>
          <w:tcPr>
            <w:tcW w:w="704" w:type="dxa"/>
            <w:vMerge w:val="restart"/>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Nr. p.k.</w:t>
            </w:r>
          </w:p>
        </w:tc>
        <w:tc>
          <w:tcPr>
            <w:tcW w:w="3844" w:type="dxa"/>
            <w:vMerge w:val="restart"/>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Pakalpojuma nosaukums</w:t>
            </w:r>
          </w:p>
        </w:tc>
        <w:tc>
          <w:tcPr>
            <w:tcW w:w="4945" w:type="dxa"/>
            <w:gridSpan w:val="4"/>
            <w:shd w:val="clear" w:color="auto" w:fill="BFBFBF"/>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Izmaksas</w:t>
            </w:r>
          </w:p>
        </w:tc>
      </w:tr>
      <w:tr w:rsidR="00401F02" w:rsidRPr="00401F02" w:rsidTr="00213AC3">
        <w:trPr>
          <w:trHeight w:val="555"/>
          <w:jc w:val="center"/>
        </w:trPr>
        <w:tc>
          <w:tcPr>
            <w:tcW w:w="704" w:type="dxa"/>
            <w:vMerge/>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3844" w:type="dxa"/>
            <w:vMerge/>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1259" w:type="dxa"/>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Mēr-vienība</w:t>
            </w:r>
          </w:p>
        </w:tc>
        <w:tc>
          <w:tcPr>
            <w:tcW w:w="867" w:type="dxa"/>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Vienības cena </w:t>
            </w:r>
            <w:r w:rsidRPr="00401F02">
              <w:rPr>
                <w:rFonts w:ascii="Times New Roman" w:eastAsia="Calibri" w:hAnsi="Times New Roman" w:cs="Times New Roman"/>
                <w:b/>
                <w:i/>
                <w:szCs w:val="24"/>
              </w:rPr>
              <w:t xml:space="preserve">euro, </w:t>
            </w:r>
            <w:r w:rsidRPr="00401F02">
              <w:rPr>
                <w:rFonts w:ascii="Times New Roman" w:eastAsia="Calibri" w:hAnsi="Times New Roman" w:cs="Times New Roman"/>
                <w:b/>
                <w:szCs w:val="24"/>
              </w:rPr>
              <w:t>bez PVN</w:t>
            </w:r>
          </w:p>
        </w:tc>
        <w:tc>
          <w:tcPr>
            <w:tcW w:w="1543" w:type="dxa"/>
            <w:shd w:val="clear" w:color="auto" w:fill="BFBFBF"/>
            <w:vAlign w:val="center"/>
          </w:tcPr>
          <w:p w:rsidR="00401F02" w:rsidRPr="00401F02" w:rsidRDefault="001A6B44" w:rsidP="00401F02">
            <w:pPr>
              <w:tabs>
                <w:tab w:val="left" w:pos="540"/>
              </w:tabs>
              <w:spacing w:after="0" w:line="240" w:lineRule="auto"/>
              <w:ind w:right="-6"/>
              <w:jc w:val="center"/>
              <w:outlineLvl w:val="0"/>
              <w:rPr>
                <w:rFonts w:ascii="Times New Roman" w:eastAsia="Calibri" w:hAnsi="Times New Roman" w:cs="Times New Roman"/>
                <w:b/>
                <w:szCs w:val="24"/>
              </w:rPr>
            </w:pPr>
            <w:r>
              <w:rPr>
                <w:rFonts w:ascii="Times New Roman" w:eastAsia="Calibri" w:hAnsi="Times New Roman" w:cs="Times New Roman"/>
                <w:b/>
                <w:szCs w:val="24"/>
              </w:rPr>
              <w:t>Orientē</w:t>
            </w:r>
            <w:r w:rsidR="00401F02" w:rsidRPr="00401F02">
              <w:rPr>
                <w:rFonts w:ascii="Times New Roman" w:eastAsia="Calibri" w:hAnsi="Times New Roman" w:cs="Times New Roman"/>
                <w:b/>
                <w:szCs w:val="24"/>
              </w:rPr>
              <w:t>jošais</w:t>
            </w:r>
          </w:p>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vienību skaits* </w:t>
            </w:r>
            <w:r w:rsidRPr="00401F02">
              <w:rPr>
                <w:rFonts w:ascii="Times New Roman" w:eastAsia="Calibri" w:hAnsi="Times New Roman" w:cs="Times New Roman"/>
                <w:b/>
                <w:i/>
                <w:szCs w:val="24"/>
              </w:rPr>
              <w:t>(līguma izpildes periodā)</w:t>
            </w:r>
          </w:p>
        </w:tc>
        <w:tc>
          <w:tcPr>
            <w:tcW w:w="1276" w:type="dxa"/>
            <w:shd w:val="clear" w:color="auto" w:fill="BFBFBF"/>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Orientējošā līgumcena</w:t>
            </w:r>
          </w:p>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i/>
                <w:szCs w:val="24"/>
              </w:rPr>
              <w:t>euro</w:t>
            </w:r>
            <w:r w:rsidRPr="00401F02">
              <w:rPr>
                <w:rFonts w:ascii="Times New Roman" w:eastAsia="Calibri" w:hAnsi="Times New Roman" w:cs="Times New Roman"/>
                <w:b/>
                <w:szCs w:val="24"/>
              </w:rPr>
              <w:t>, bez PVN</w:t>
            </w:r>
          </w:p>
        </w:tc>
      </w:tr>
      <w:tr w:rsidR="00401F02" w:rsidRPr="00401F02" w:rsidTr="00213AC3">
        <w:trPr>
          <w:trHeight w:val="147"/>
          <w:jc w:val="center"/>
        </w:trPr>
        <w:tc>
          <w:tcPr>
            <w:tcW w:w="704"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1</w:t>
            </w:r>
          </w:p>
        </w:tc>
        <w:tc>
          <w:tcPr>
            <w:tcW w:w="3844"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2</w:t>
            </w:r>
          </w:p>
        </w:tc>
        <w:tc>
          <w:tcPr>
            <w:tcW w:w="1259"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3</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4</w:t>
            </w: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5</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6(4*5)</w:t>
            </w:r>
          </w:p>
        </w:tc>
      </w:tr>
      <w:tr w:rsidR="00D2420A" w:rsidRPr="00401F02" w:rsidTr="00213AC3">
        <w:trPr>
          <w:trHeight w:val="147"/>
          <w:jc w:val="center"/>
        </w:trPr>
        <w:tc>
          <w:tcPr>
            <w:tcW w:w="9493" w:type="dxa"/>
            <w:gridSpan w:val="6"/>
            <w:shd w:val="clear" w:color="auto" w:fill="BFBFBF"/>
            <w:vAlign w:val="center"/>
          </w:tcPr>
          <w:p w:rsidR="00D2420A" w:rsidRPr="00401F02" w:rsidRDefault="00D2420A" w:rsidP="00D2420A">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b/>
                <w:i/>
                <w:sz w:val="24"/>
                <w:szCs w:val="24"/>
              </w:rPr>
              <w:t>Apbedīšanas izmaksas apbedīšanai zārkā</w:t>
            </w: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Specializētā transporta pakalpojumi, kas saistīti ar mirušā transportēšanu </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km</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 km/</w:t>
            </w:r>
            <w:r w:rsidRPr="00401F02">
              <w:rPr>
                <w:rFonts w:ascii="Times New Roman" w:eastAsia="Calibri" w:hAnsi="Times New Roman" w:cs="Times New Roman"/>
                <w:szCs w:val="24"/>
              </w:rPr>
              <w:t>par vienas mirušās personas transportēšanu</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uzglabāšana morgā</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diennakts</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apmazgāšana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apģērbšana un iezārkošana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Zārks ar piederumiem (mirušā gultiņa, spilvens, palags)</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 rakšana, aizbēršana un kapa kopiņas izveidošana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Zārka ar mirušo nešana līdz kapa vietai, nolaišana kapā</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Plāksnes ar mirušās personas datiem uzstādīšana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Viena plāksne vienai personai</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D2420A" w:rsidRPr="00401F02" w:rsidTr="00213AC3">
        <w:trPr>
          <w:trHeight w:val="147"/>
          <w:jc w:val="center"/>
        </w:trPr>
        <w:tc>
          <w:tcPr>
            <w:tcW w:w="9493" w:type="dxa"/>
            <w:gridSpan w:val="6"/>
            <w:shd w:val="clear" w:color="auto" w:fill="BFBFBF"/>
            <w:vAlign w:val="center"/>
          </w:tcPr>
          <w:p w:rsidR="00D2420A" w:rsidRPr="00401F02" w:rsidRDefault="00D2420A"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b/>
                <w:i/>
                <w:sz w:val="24"/>
                <w:szCs w:val="24"/>
              </w:rPr>
              <w:t>Apbedīšanas izmaksas kremējot</w:t>
            </w: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uzglabāšana morgā</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diennakts</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apmazgāšana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apģērbšana un iezārkošana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Zārks kremēšanai </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Specializētā transporta pakalpojumi, kas saistīti ar mirušā transportēšanu (t.sk. mirušā transportēšanu uz krematoriju)</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km</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pārnešana kremācijai</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Kremācija, t.sk. kapsula ar mirušā pelniem un ar mirušās personas datiem</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Kapsulas ar mirušā pelniem uzglabāšana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Kapavietas planēšana un nolīdzināšana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Akmens plāksnes (izmērs, platums 50 cm, augstums 60 cm) ar kremēto personu datiem uzstādīšana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147"/>
          <w:jc w:val="center"/>
        </w:trPr>
        <w:tc>
          <w:tcPr>
            <w:tcW w:w="704" w:type="dxa"/>
            <w:vAlign w:val="center"/>
          </w:tcPr>
          <w:p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844" w:type="dxa"/>
            <w:vAlign w:val="center"/>
          </w:tcPr>
          <w:p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Akmens plāksne (izmērs, platums 30 cm, augstums 20 cm) ar apbedīto personu datiem uzstādīšana</w:t>
            </w:r>
          </w:p>
        </w:tc>
        <w:tc>
          <w:tcPr>
            <w:tcW w:w="1259"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rsidTr="00213AC3">
        <w:trPr>
          <w:trHeight w:val="223"/>
          <w:jc w:val="center"/>
        </w:trPr>
        <w:tc>
          <w:tcPr>
            <w:tcW w:w="8217" w:type="dxa"/>
            <w:gridSpan w:val="5"/>
            <w:vAlign w:val="center"/>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b/>
                <w:sz w:val="24"/>
                <w:szCs w:val="24"/>
              </w:rPr>
              <w:t>Kopējā līgumcena bez PVN:</w:t>
            </w:r>
          </w:p>
        </w:tc>
        <w:tc>
          <w:tcPr>
            <w:tcW w:w="1276" w:type="dxa"/>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rsidTr="00213AC3">
        <w:trPr>
          <w:trHeight w:val="223"/>
          <w:jc w:val="center"/>
        </w:trPr>
        <w:tc>
          <w:tcPr>
            <w:tcW w:w="8217" w:type="dxa"/>
            <w:gridSpan w:val="5"/>
            <w:vAlign w:val="center"/>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PVN:</w:t>
            </w:r>
          </w:p>
        </w:tc>
        <w:tc>
          <w:tcPr>
            <w:tcW w:w="1276" w:type="dxa"/>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rsidTr="00213AC3">
        <w:trPr>
          <w:trHeight w:val="223"/>
          <w:jc w:val="center"/>
        </w:trPr>
        <w:tc>
          <w:tcPr>
            <w:tcW w:w="8217" w:type="dxa"/>
            <w:gridSpan w:val="5"/>
            <w:vAlign w:val="center"/>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Kopsumma ar PVN:</w:t>
            </w:r>
          </w:p>
        </w:tc>
        <w:tc>
          <w:tcPr>
            <w:tcW w:w="1276" w:type="dxa"/>
          </w:tcPr>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bl>
    <w:p w:rsidR="00401F02" w:rsidRPr="00401F02" w:rsidRDefault="00401F02" w:rsidP="00401F02">
      <w:pPr>
        <w:tabs>
          <w:tab w:val="left" w:pos="540"/>
        </w:tabs>
        <w:spacing w:after="0" w:line="240" w:lineRule="auto"/>
        <w:ind w:right="-6"/>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*norādītie apjomi ir orientējoši un tie var mainīties līguma izpildes laikā</w:t>
      </w:r>
    </w:p>
    <w:p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p>
    <w:p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Līgumcenā iekļauti visi Latvijas Republikas normatīvajos aktos paredzētie nodokļi un maksājumi, neieskaitot  PVN, kā arī visi izdevumi, kas nepieciešami Līgumā noteikto saistību izpildei.</w:t>
      </w:r>
    </w:p>
    <w:p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 xml:space="preserve">Mūsu piedāvājumā ir iekļautas visas nepieciešamās izmaksas, kas nodrošina par </w:t>
      </w:r>
      <w:proofErr w:type="spellStart"/>
      <w:r w:rsidRPr="00401F02">
        <w:rPr>
          <w:rFonts w:ascii="Times New Roman" w:eastAsia="Calibri" w:hAnsi="Times New Roman" w:cs="Times New Roman"/>
          <w:b/>
          <w:sz w:val="24"/>
          <w:szCs w:val="24"/>
        </w:rPr>
        <w:t>bezpiederīgajiem</w:t>
      </w:r>
      <w:proofErr w:type="spellEnd"/>
      <w:r w:rsidRPr="00401F02">
        <w:rPr>
          <w:rFonts w:ascii="Times New Roman" w:eastAsia="Calibri" w:hAnsi="Times New Roman" w:cs="Times New Roman"/>
          <w:b/>
          <w:sz w:val="24"/>
          <w:szCs w:val="24"/>
        </w:rPr>
        <w:t xml:space="preserve"> atzīto mirušo un nezināmo personu, apbedīšanas pakalpojuma sniegšanu saskaņā ar tehniskajās specifikācijās norādītajām prasībām.</w:t>
      </w:r>
    </w:p>
    <w:p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Apņemamies 10 darba dienu laikā pēc “Talsu novada bezpiederīgo mirušo apbedīšanas pakalpojuma sniegšanu un kapavietu labiekārtošana” cenu aptaujas rezultātā noslēgtā līguma stāšanās brīža Talsu novada Sociālajā dienestā iesniegt dokumentus, par to, ka Pasūtītajam tiks nodrošināts kremācijas pakalpojums atbilstoši Ministru kabineta 2010. gada 29. jūnija noteikumiem Nr. 600 “Kremācijas noteikumi”.</w:t>
      </w:r>
    </w:p>
    <w:p w:rsidR="00401F02" w:rsidRPr="00401F02" w:rsidRDefault="00401F02" w:rsidP="00401F02">
      <w:pPr>
        <w:tabs>
          <w:tab w:val="left" w:pos="0"/>
        </w:tabs>
        <w:spacing w:after="0" w:line="240" w:lineRule="auto"/>
        <w:ind w:right="-6" w:firstLine="567"/>
        <w:jc w:val="right"/>
        <w:outlineLvl w:val="0"/>
        <w:rPr>
          <w:rFonts w:ascii="Times New Roman" w:eastAsia="Calibri" w:hAnsi="Times New Roman" w:cs="Times New Roman"/>
          <w:sz w:val="24"/>
          <w:szCs w:val="24"/>
        </w:rPr>
      </w:pPr>
    </w:p>
    <w:tbl>
      <w:tblPr>
        <w:tblW w:w="49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3"/>
        <w:gridCol w:w="7111"/>
      </w:tblGrid>
      <w:tr w:rsidR="001A6B44" w:rsidRPr="00E922A3" w:rsidTr="000E30C6">
        <w:trPr>
          <w:trHeight w:val="154"/>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Vārds, uzvārds:</w:t>
            </w:r>
          </w:p>
        </w:tc>
        <w:tc>
          <w:tcPr>
            <w:tcW w:w="3785" w:type="pct"/>
            <w:tcBorders>
              <w:top w:val="single" w:sz="6" w:space="0" w:color="auto"/>
              <w:left w:val="single" w:sz="6" w:space="0" w:color="auto"/>
              <w:bottom w:val="single" w:sz="6" w:space="0" w:color="auto"/>
              <w:right w:val="single" w:sz="6" w:space="0" w:color="auto"/>
            </w:tcBorders>
            <w:vAlign w:val="center"/>
          </w:tcPr>
          <w:p w:rsidR="001A6B44" w:rsidRPr="00E922A3" w:rsidRDefault="001A6B44" w:rsidP="000E30C6">
            <w:pPr>
              <w:suppressAutoHyphens/>
              <w:spacing w:after="0" w:line="240" w:lineRule="auto"/>
              <w:rPr>
                <w:rFonts w:ascii="Times New Roman" w:eastAsia="Times New Roman" w:hAnsi="Times New Roman" w:cs="Times New Roman"/>
                <w:i/>
                <w:iCs/>
                <w:lang w:eastAsia="ar-SA"/>
              </w:rPr>
            </w:pPr>
          </w:p>
        </w:tc>
      </w:tr>
      <w:tr w:rsidR="001A6B44" w:rsidRPr="00E922A3"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Amats:</w:t>
            </w:r>
          </w:p>
        </w:tc>
        <w:tc>
          <w:tcPr>
            <w:tcW w:w="3785" w:type="pct"/>
            <w:tcBorders>
              <w:top w:val="single" w:sz="6" w:space="0" w:color="auto"/>
              <w:left w:val="single" w:sz="6" w:space="0" w:color="auto"/>
              <w:bottom w:val="single" w:sz="6" w:space="0" w:color="auto"/>
              <w:right w:val="single" w:sz="6" w:space="0" w:color="auto"/>
            </w:tcBorders>
            <w:vAlign w:val="center"/>
          </w:tcPr>
          <w:p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r w:rsidR="001A6B44" w:rsidRPr="00E922A3"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Paraksts:</w:t>
            </w:r>
          </w:p>
        </w:tc>
        <w:tc>
          <w:tcPr>
            <w:tcW w:w="3785" w:type="pct"/>
            <w:tcBorders>
              <w:top w:val="single" w:sz="6" w:space="0" w:color="auto"/>
              <w:left w:val="single" w:sz="6" w:space="0" w:color="auto"/>
              <w:bottom w:val="single" w:sz="6" w:space="0" w:color="auto"/>
              <w:right w:val="single" w:sz="6" w:space="0" w:color="auto"/>
            </w:tcBorders>
            <w:vAlign w:val="center"/>
          </w:tcPr>
          <w:p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r w:rsidR="001A6B44" w:rsidRPr="00E922A3"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Datums:</w:t>
            </w:r>
          </w:p>
        </w:tc>
        <w:tc>
          <w:tcPr>
            <w:tcW w:w="3785" w:type="pct"/>
            <w:tcBorders>
              <w:top w:val="single" w:sz="6" w:space="0" w:color="auto"/>
              <w:left w:val="single" w:sz="6" w:space="0" w:color="auto"/>
              <w:bottom w:val="single" w:sz="6" w:space="0" w:color="auto"/>
              <w:right w:val="single" w:sz="6" w:space="0" w:color="auto"/>
            </w:tcBorders>
            <w:vAlign w:val="center"/>
          </w:tcPr>
          <w:p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bl>
    <w:p w:rsidR="00401F02" w:rsidRPr="00401F02" w:rsidRDefault="00401F02" w:rsidP="00401F02">
      <w:pPr>
        <w:spacing w:after="0" w:line="240" w:lineRule="auto"/>
        <w:contextualSpacing/>
        <w:jc w:val="both"/>
        <w:rPr>
          <w:rFonts w:ascii="Times New Roman" w:eastAsia="Calibri" w:hAnsi="Times New Roman" w:cs="Times New Roman"/>
          <w:b/>
          <w:sz w:val="20"/>
          <w:szCs w:val="20"/>
        </w:rPr>
      </w:pPr>
    </w:p>
    <w:p w:rsidR="00BA4820" w:rsidRDefault="00BA4820"/>
    <w:sectPr w:rsidR="00BA4820" w:rsidSect="00401F02">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1AE1"/>
    <w:multiLevelType w:val="hybridMultilevel"/>
    <w:tmpl w:val="E4729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02"/>
    <w:rsid w:val="001A6B44"/>
    <w:rsid w:val="00213AC3"/>
    <w:rsid w:val="00401F02"/>
    <w:rsid w:val="00415FE1"/>
    <w:rsid w:val="005018F1"/>
    <w:rsid w:val="00A30209"/>
    <w:rsid w:val="00BA4820"/>
    <w:rsid w:val="00D2420A"/>
    <w:rsid w:val="00E76C41"/>
    <w:rsid w:val="00F63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16C8"/>
  <w15:docId w15:val="{A04838F9-B92B-447F-B3B7-49157C72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0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1945</Words>
  <Characters>1110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3</cp:revision>
  <dcterms:created xsi:type="dcterms:W3CDTF">2022-03-03T07:31:00Z</dcterms:created>
  <dcterms:modified xsi:type="dcterms:W3CDTF">2022-03-03T08:02:00Z</dcterms:modified>
</cp:coreProperties>
</file>